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34CF" w14:textId="0BC29F19" w:rsidR="004D1C21" w:rsidRPr="00544B1B" w:rsidRDefault="004D1C21" w:rsidP="004D1C21">
      <w:pPr>
        <w:jc w:val="center"/>
        <w:rPr>
          <w:b/>
          <w:bCs/>
          <w:sz w:val="28"/>
          <w:szCs w:val="28"/>
          <w:highlight w:val="yellow"/>
        </w:rPr>
      </w:pPr>
      <w:r w:rsidRPr="00544B1B">
        <w:rPr>
          <w:b/>
          <w:bCs/>
          <w:sz w:val="28"/>
          <w:szCs w:val="28"/>
          <w:highlight w:val="yellow"/>
        </w:rPr>
        <w:t>QUINTA MAGISTRATURA TRIBUTARIA</w:t>
      </w:r>
    </w:p>
    <w:p w14:paraId="73E22009" w14:textId="77777777" w:rsidR="00544B1B" w:rsidRDefault="004D1C21" w:rsidP="00544B1B">
      <w:pPr>
        <w:shd w:val="clear" w:color="auto" w:fill="FFFF00"/>
        <w:jc w:val="center"/>
        <w:rPr>
          <w:b/>
          <w:bCs/>
          <w:i/>
          <w:iCs/>
          <w:sz w:val="28"/>
          <w:szCs w:val="28"/>
        </w:rPr>
      </w:pPr>
      <w:r w:rsidRPr="00544B1B">
        <w:rPr>
          <w:b/>
          <w:bCs/>
          <w:i/>
          <w:iCs/>
          <w:sz w:val="28"/>
          <w:szCs w:val="28"/>
          <w:highlight w:val="yellow"/>
        </w:rPr>
        <w:t>Le Corti di Giustizia Tributaria devono decidere anche</w:t>
      </w:r>
      <w:r w:rsidRPr="001D1A17">
        <w:rPr>
          <w:b/>
          <w:bCs/>
          <w:i/>
          <w:iCs/>
          <w:sz w:val="28"/>
          <w:szCs w:val="28"/>
        </w:rPr>
        <w:t xml:space="preserve"> il penale</w:t>
      </w:r>
      <w:r w:rsidR="007A1462" w:rsidRPr="001D1A17">
        <w:rPr>
          <w:b/>
          <w:bCs/>
          <w:i/>
          <w:iCs/>
          <w:sz w:val="28"/>
          <w:szCs w:val="28"/>
        </w:rPr>
        <w:t xml:space="preserve"> </w:t>
      </w:r>
      <w:r w:rsidR="00311A45">
        <w:rPr>
          <w:b/>
          <w:bCs/>
          <w:i/>
          <w:iCs/>
          <w:sz w:val="28"/>
          <w:szCs w:val="28"/>
        </w:rPr>
        <w:t xml:space="preserve">tributario </w:t>
      </w:r>
    </w:p>
    <w:p w14:paraId="36399AAB" w14:textId="5C60839A" w:rsidR="004D1C21" w:rsidRPr="00544B1B" w:rsidRDefault="007A1462" w:rsidP="00544B1B">
      <w:pPr>
        <w:shd w:val="clear" w:color="auto" w:fill="FFFF00"/>
        <w:jc w:val="center"/>
        <w:rPr>
          <w:b/>
          <w:bCs/>
          <w:i/>
          <w:iCs/>
          <w:sz w:val="28"/>
          <w:szCs w:val="28"/>
        </w:rPr>
      </w:pPr>
      <w:r w:rsidRPr="001D1A17">
        <w:rPr>
          <w:b/>
          <w:bCs/>
          <w:i/>
          <w:iCs/>
          <w:sz w:val="28"/>
          <w:szCs w:val="28"/>
        </w:rPr>
        <w:t>per il</w:t>
      </w:r>
      <w:r w:rsidR="00544B1B">
        <w:rPr>
          <w:b/>
          <w:bCs/>
          <w:i/>
          <w:iCs/>
          <w:sz w:val="28"/>
          <w:szCs w:val="28"/>
        </w:rPr>
        <w:t xml:space="preserve"> </w:t>
      </w:r>
      <w:r w:rsidRPr="00BB1B83">
        <w:rPr>
          <w:b/>
          <w:bCs/>
          <w:i/>
          <w:iCs/>
          <w:sz w:val="28"/>
          <w:szCs w:val="28"/>
        </w:rPr>
        <w:t>ne bis in idem</w:t>
      </w:r>
    </w:p>
    <w:p w14:paraId="10CA70D3" w14:textId="14B8F14D" w:rsidR="00327655" w:rsidRPr="00E54B39" w:rsidRDefault="00327655" w:rsidP="00327655">
      <w:pPr>
        <w:jc w:val="center"/>
        <w:rPr>
          <w:b/>
          <w:bCs/>
          <w:i/>
          <w:iCs/>
          <w:sz w:val="24"/>
          <w:szCs w:val="24"/>
        </w:rPr>
      </w:pPr>
      <w:bookmarkStart w:id="0" w:name="_Hlk186711331"/>
      <w:r w:rsidRPr="00E54B39">
        <w:rPr>
          <w:b/>
          <w:bCs/>
          <w:i/>
          <w:iCs/>
          <w:sz w:val="24"/>
          <w:szCs w:val="24"/>
        </w:rPr>
        <w:t>Avv. Maurizio Villani</w:t>
      </w:r>
    </w:p>
    <w:p w14:paraId="5C729EFD" w14:textId="7DC8370F" w:rsidR="005C7AE7" w:rsidRDefault="004D1C21" w:rsidP="00327655">
      <w:pPr>
        <w:jc w:val="center"/>
        <w:rPr>
          <w:b/>
          <w:bCs/>
          <w:sz w:val="24"/>
          <w:szCs w:val="24"/>
        </w:rPr>
      </w:pPr>
      <w:r w:rsidRPr="001D1A17">
        <w:rPr>
          <w:b/>
          <w:bCs/>
          <w:sz w:val="24"/>
          <w:szCs w:val="24"/>
        </w:rPr>
        <w:t>****</w:t>
      </w:r>
      <w:bookmarkEnd w:id="0"/>
    </w:p>
    <w:p w14:paraId="46EF292F" w14:textId="77777777" w:rsidR="00D44BD1" w:rsidRDefault="00D44BD1" w:rsidP="00327655">
      <w:pPr>
        <w:jc w:val="center"/>
        <w:rPr>
          <w:b/>
          <w:bCs/>
          <w:sz w:val="24"/>
          <w:szCs w:val="24"/>
        </w:rPr>
      </w:pPr>
    </w:p>
    <w:sdt>
      <w:sdtPr>
        <w:rPr>
          <w:rFonts w:asciiTheme="minorHAnsi" w:eastAsiaTheme="minorHAnsi" w:hAnsiTheme="minorHAnsi" w:cstheme="minorBidi"/>
          <w:color w:val="auto"/>
          <w:sz w:val="22"/>
          <w:szCs w:val="22"/>
          <w:lang w:eastAsia="en-US"/>
        </w:rPr>
        <w:id w:val="-643580454"/>
        <w:docPartObj>
          <w:docPartGallery w:val="Table of Contents"/>
          <w:docPartUnique/>
        </w:docPartObj>
      </w:sdtPr>
      <w:sdtEndPr>
        <w:rPr>
          <w:b/>
          <w:bCs/>
        </w:rPr>
      </w:sdtEndPr>
      <w:sdtContent>
        <w:p w14:paraId="3C8CC082" w14:textId="5E56D4E9" w:rsidR="00D44BD1" w:rsidRPr="00D44BD1" w:rsidRDefault="0011142F">
          <w:pPr>
            <w:pStyle w:val="Titolosommario"/>
            <w:rPr>
              <w:b/>
              <w:i/>
              <w:color w:val="auto"/>
              <w:sz w:val="24"/>
              <w:szCs w:val="24"/>
            </w:rPr>
          </w:pPr>
          <w:r w:rsidRPr="00D44BD1">
            <w:rPr>
              <w:b/>
              <w:i/>
              <w:color w:val="auto"/>
              <w:sz w:val="24"/>
              <w:szCs w:val="24"/>
            </w:rPr>
            <w:t>SOMMARIO</w:t>
          </w:r>
        </w:p>
        <w:p w14:paraId="347EEE57" w14:textId="77777777" w:rsidR="00D44BD1" w:rsidRPr="00D44BD1" w:rsidRDefault="00D44BD1" w:rsidP="00D44BD1">
          <w:pPr>
            <w:rPr>
              <w:lang w:eastAsia="it-IT"/>
            </w:rPr>
          </w:pPr>
        </w:p>
        <w:p w14:paraId="4AD0F63B" w14:textId="1E8053EE" w:rsidR="00D44BD1" w:rsidRDefault="00D44BD1" w:rsidP="00D44BD1">
          <w:pPr>
            <w:pStyle w:val="Sommario1"/>
            <w:rPr>
              <w:rFonts w:eastAsiaTheme="minorEastAsia"/>
              <w:b w:val="0"/>
              <w:bCs w:val="0"/>
              <w:lang w:eastAsia="it-IT"/>
            </w:rPr>
          </w:pPr>
          <w:r>
            <w:fldChar w:fldCharType="begin"/>
          </w:r>
          <w:r>
            <w:instrText xml:space="preserve"> TOC \o "1-3" \h \z \u </w:instrText>
          </w:r>
          <w:r>
            <w:fldChar w:fldCharType="separate"/>
          </w:r>
          <w:hyperlink w:anchor="_Toc187062364" w:history="1">
            <w:r w:rsidRPr="006B6983">
              <w:rPr>
                <w:rStyle w:val="Collegamentoipertestuale"/>
                <w:highlight w:val="yellow"/>
              </w:rPr>
              <w:t>PARTE PRIMA</w:t>
            </w:r>
            <w:r w:rsidRPr="00D44BD1">
              <w:rPr>
                <w:highlight w:val="yellow"/>
              </w:rPr>
              <w:t xml:space="preserve"> </w:t>
            </w:r>
            <w:r>
              <w:rPr>
                <w:highlight w:val="yellow"/>
              </w:rPr>
              <w:t xml:space="preserve">- </w:t>
            </w:r>
            <w:r w:rsidRPr="00D44BD1">
              <w:rPr>
                <w:rStyle w:val="Collegamentoipertestuale"/>
                <w:highlight w:val="yellow"/>
              </w:rPr>
              <w:t>GIURISPRUDENZA</w:t>
            </w:r>
            <w:r>
              <w:rPr>
                <w:webHidden/>
              </w:rPr>
              <w:tab/>
            </w:r>
            <w:r w:rsidRPr="00D44BD1">
              <w:rPr>
                <w:b w:val="0"/>
                <w:webHidden/>
              </w:rPr>
              <w:fldChar w:fldCharType="begin"/>
            </w:r>
            <w:r w:rsidRPr="00D44BD1">
              <w:rPr>
                <w:b w:val="0"/>
                <w:webHidden/>
              </w:rPr>
              <w:instrText xml:space="preserve"> PAGEREF _Toc187062364 \h </w:instrText>
            </w:r>
            <w:r w:rsidRPr="00D44BD1">
              <w:rPr>
                <w:b w:val="0"/>
                <w:webHidden/>
              </w:rPr>
            </w:r>
            <w:r w:rsidRPr="00D44BD1">
              <w:rPr>
                <w:b w:val="0"/>
                <w:webHidden/>
              </w:rPr>
              <w:fldChar w:fldCharType="separate"/>
            </w:r>
            <w:r w:rsidR="00A01DB9">
              <w:rPr>
                <w:b w:val="0"/>
                <w:webHidden/>
              </w:rPr>
              <w:t>4</w:t>
            </w:r>
            <w:r w:rsidRPr="00D44BD1">
              <w:rPr>
                <w:b w:val="0"/>
                <w:webHidden/>
              </w:rPr>
              <w:fldChar w:fldCharType="end"/>
            </w:r>
          </w:hyperlink>
        </w:p>
        <w:p w14:paraId="4D831B69" w14:textId="465E4148" w:rsidR="00D44BD1" w:rsidRPr="00D44BD1" w:rsidRDefault="00EC1F0C" w:rsidP="00D44BD1">
          <w:pPr>
            <w:pStyle w:val="Sommario2"/>
            <w:tabs>
              <w:tab w:val="clear" w:pos="660"/>
              <w:tab w:val="left" w:pos="851"/>
            </w:tabs>
            <w:ind w:hanging="283"/>
            <w:rPr>
              <w:rFonts w:eastAsiaTheme="minorEastAsia"/>
              <w:noProof/>
              <w:lang w:eastAsia="it-IT"/>
            </w:rPr>
          </w:pPr>
          <w:hyperlink w:anchor="_Toc187062366" w:history="1">
            <w:r w:rsidR="00D44BD1" w:rsidRPr="00D44BD1">
              <w:rPr>
                <w:rStyle w:val="Collegamentoipertestuale"/>
                <w:bCs/>
                <w:noProof/>
              </w:rPr>
              <w:t>A)</w:t>
            </w:r>
            <w:r w:rsidR="00D44BD1" w:rsidRPr="00D44BD1">
              <w:rPr>
                <w:rFonts w:eastAsiaTheme="minorEastAsia"/>
                <w:noProof/>
                <w:lang w:eastAsia="it-IT"/>
              </w:rPr>
              <w:tab/>
            </w:r>
            <w:r w:rsidR="00D44BD1" w:rsidRPr="00D44BD1">
              <w:rPr>
                <w:rStyle w:val="Collegamentoipertestuale"/>
                <w:bCs/>
                <w:noProof/>
              </w:rPr>
              <w:t>CORTE EUROPEA DEI DIRITTI DELL’UOMO (CORTE EDU)</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_Toc187062366 \h </w:instrText>
            </w:r>
            <w:r w:rsidR="00D44BD1" w:rsidRPr="00D44BD1">
              <w:rPr>
                <w:noProof/>
                <w:webHidden/>
              </w:rPr>
            </w:r>
            <w:r w:rsidR="00D44BD1" w:rsidRPr="00D44BD1">
              <w:rPr>
                <w:noProof/>
                <w:webHidden/>
              </w:rPr>
              <w:fldChar w:fldCharType="separate"/>
            </w:r>
            <w:r w:rsidR="00A01DB9">
              <w:rPr>
                <w:noProof/>
                <w:webHidden/>
              </w:rPr>
              <w:t>4</w:t>
            </w:r>
            <w:r w:rsidR="00D44BD1" w:rsidRPr="00D44BD1">
              <w:rPr>
                <w:noProof/>
                <w:webHidden/>
              </w:rPr>
              <w:fldChar w:fldCharType="end"/>
            </w:r>
          </w:hyperlink>
        </w:p>
        <w:p w14:paraId="39BF6D27" w14:textId="44634ECE" w:rsidR="00D44BD1" w:rsidRPr="00D44BD1" w:rsidRDefault="00EC1F0C" w:rsidP="00D44BD1">
          <w:pPr>
            <w:pStyle w:val="Sommario2"/>
            <w:tabs>
              <w:tab w:val="clear" w:pos="660"/>
              <w:tab w:val="left" w:pos="851"/>
            </w:tabs>
            <w:ind w:hanging="283"/>
            <w:rPr>
              <w:rFonts w:eastAsiaTheme="minorEastAsia"/>
              <w:noProof/>
              <w:lang w:eastAsia="it-IT"/>
            </w:rPr>
          </w:pPr>
          <w:hyperlink w:anchor="_Toc187062367" w:history="1">
            <w:r w:rsidR="00D44BD1" w:rsidRPr="00D44BD1">
              <w:rPr>
                <w:rStyle w:val="Collegamentoipertestuale"/>
                <w:bCs/>
                <w:noProof/>
              </w:rPr>
              <w:t>B)</w:t>
            </w:r>
            <w:r w:rsidR="00D44BD1" w:rsidRPr="00D44BD1">
              <w:rPr>
                <w:rFonts w:eastAsiaTheme="minorEastAsia"/>
                <w:noProof/>
                <w:lang w:eastAsia="it-IT"/>
              </w:rPr>
              <w:tab/>
            </w:r>
            <w:r w:rsidR="00D44BD1" w:rsidRPr="00D44BD1">
              <w:rPr>
                <w:rStyle w:val="Collegamentoipertestuale"/>
                <w:bCs/>
                <w:noProof/>
              </w:rPr>
              <w:t>CORTE DI GIUSTIZIA EUROPEA</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_Toc187062367 \h </w:instrText>
            </w:r>
            <w:r w:rsidR="00D44BD1" w:rsidRPr="00D44BD1">
              <w:rPr>
                <w:noProof/>
                <w:webHidden/>
              </w:rPr>
            </w:r>
            <w:r w:rsidR="00D44BD1" w:rsidRPr="00D44BD1">
              <w:rPr>
                <w:noProof/>
                <w:webHidden/>
              </w:rPr>
              <w:fldChar w:fldCharType="separate"/>
            </w:r>
            <w:r w:rsidR="00A01DB9">
              <w:rPr>
                <w:noProof/>
                <w:webHidden/>
              </w:rPr>
              <w:t>4</w:t>
            </w:r>
            <w:r w:rsidR="00D44BD1" w:rsidRPr="00D44BD1">
              <w:rPr>
                <w:noProof/>
                <w:webHidden/>
              </w:rPr>
              <w:fldChar w:fldCharType="end"/>
            </w:r>
          </w:hyperlink>
        </w:p>
        <w:p w14:paraId="7FCB3B1E" w14:textId="06DEC840" w:rsidR="00D44BD1" w:rsidRPr="00D44BD1" w:rsidRDefault="00EC1F0C" w:rsidP="00D44BD1">
          <w:pPr>
            <w:pStyle w:val="Sommario2"/>
            <w:tabs>
              <w:tab w:val="clear" w:pos="660"/>
              <w:tab w:val="left" w:pos="851"/>
            </w:tabs>
            <w:ind w:hanging="283"/>
            <w:rPr>
              <w:rFonts w:eastAsiaTheme="minorEastAsia"/>
              <w:noProof/>
              <w:lang w:eastAsia="it-IT"/>
            </w:rPr>
          </w:pPr>
          <w:hyperlink w:anchor="_Toc187062368" w:history="1">
            <w:r w:rsidR="00D44BD1" w:rsidRPr="00D44BD1">
              <w:rPr>
                <w:rStyle w:val="Collegamentoipertestuale"/>
                <w:bCs/>
                <w:noProof/>
              </w:rPr>
              <w:t>C)</w:t>
            </w:r>
            <w:r w:rsidR="00D44BD1" w:rsidRPr="00D44BD1">
              <w:rPr>
                <w:rFonts w:eastAsiaTheme="minorEastAsia"/>
                <w:noProof/>
                <w:lang w:eastAsia="it-IT"/>
              </w:rPr>
              <w:tab/>
            </w:r>
            <w:r w:rsidR="00D44BD1" w:rsidRPr="00D44BD1">
              <w:rPr>
                <w:rStyle w:val="Collegamentoipertestuale"/>
                <w:bCs/>
                <w:noProof/>
              </w:rPr>
              <w:t>CORTE COSTITUZIONALE, CON DUE DIFFERENTI INTERPRETAZIONI TRA IL SETTORE PENALE – TRIBUTARIO ED IL SETTORE DI PROTEZIONE DEL DIRITTO D’AUTORE E DI ALTRI DIRITTI CONNESSI AL SUO ESERCIZIO</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_Toc187062368 \h </w:instrText>
            </w:r>
            <w:r w:rsidR="00D44BD1" w:rsidRPr="00D44BD1">
              <w:rPr>
                <w:noProof/>
                <w:webHidden/>
              </w:rPr>
            </w:r>
            <w:r w:rsidR="00D44BD1" w:rsidRPr="00D44BD1">
              <w:rPr>
                <w:noProof/>
                <w:webHidden/>
              </w:rPr>
              <w:fldChar w:fldCharType="separate"/>
            </w:r>
            <w:r w:rsidR="00A01DB9">
              <w:rPr>
                <w:noProof/>
                <w:webHidden/>
              </w:rPr>
              <w:t>5</w:t>
            </w:r>
            <w:r w:rsidR="00D44BD1" w:rsidRPr="00D44BD1">
              <w:rPr>
                <w:noProof/>
                <w:webHidden/>
              </w:rPr>
              <w:fldChar w:fldCharType="end"/>
            </w:r>
          </w:hyperlink>
        </w:p>
        <w:p w14:paraId="32A7F8D1" w14:textId="58FCD49B" w:rsidR="00D44BD1" w:rsidRPr="00D44BD1" w:rsidRDefault="00EC1F0C" w:rsidP="00D44BD1">
          <w:pPr>
            <w:pStyle w:val="Sommario2"/>
            <w:tabs>
              <w:tab w:val="clear" w:pos="660"/>
              <w:tab w:val="left" w:pos="851"/>
            </w:tabs>
            <w:ind w:hanging="283"/>
            <w:rPr>
              <w:rFonts w:eastAsiaTheme="minorEastAsia"/>
              <w:noProof/>
              <w:lang w:eastAsia="it-IT"/>
            </w:rPr>
          </w:pPr>
          <w:hyperlink w:anchor="_Toc187062369" w:history="1">
            <w:r w:rsidR="00D44BD1" w:rsidRPr="00D44BD1">
              <w:rPr>
                <w:rStyle w:val="Collegamentoipertestuale"/>
                <w:bCs/>
                <w:noProof/>
              </w:rPr>
              <w:t>D)</w:t>
            </w:r>
            <w:r w:rsidR="00D44BD1" w:rsidRPr="00D44BD1">
              <w:rPr>
                <w:rFonts w:eastAsiaTheme="minorEastAsia"/>
                <w:noProof/>
                <w:lang w:eastAsia="it-IT"/>
              </w:rPr>
              <w:tab/>
            </w:r>
            <w:r w:rsidR="00D44BD1" w:rsidRPr="00D44BD1">
              <w:rPr>
                <w:rStyle w:val="Collegamentoipertestuale"/>
                <w:bCs/>
                <w:noProof/>
              </w:rPr>
              <w:t>CORTE DI CASSAZIONE SEZIONE QUINTA CIVILE (TRIBUTARIA)</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_Toc187062369 \h </w:instrText>
            </w:r>
            <w:r w:rsidR="00D44BD1" w:rsidRPr="00D44BD1">
              <w:rPr>
                <w:noProof/>
                <w:webHidden/>
              </w:rPr>
            </w:r>
            <w:r w:rsidR="00D44BD1" w:rsidRPr="00D44BD1">
              <w:rPr>
                <w:noProof/>
                <w:webHidden/>
              </w:rPr>
              <w:fldChar w:fldCharType="separate"/>
            </w:r>
            <w:r w:rsidR="00A01DB9">
              <w:rPr>
                <w:noProof/>
                <w:webHidden/>
              </w:rPr>
              <w:t>8</w:t>
            </w:r>
            <w:r w:rsidR="00D44BD1" w:rsidRPr="00D44BD1">
              <w:rPr>
                <w:noProof/>
                <w:webHidden/>
              </w:rPr>
              <w:fldChar w:fldCharType="end"/>
            </w:r>
          </w:hyperlink>
        </w:p>
        <w:p w14:paraId="71013AC5" w14:textId="1C0A9431" w:rsidR="00D44BD1" w:rsidRPr="00D44BD1" w:rsidRDefault="00EC1F0C" w:rsidP="00D44BD1">
          <w:pPr>
            <w:pStyle w:val="Sommario2"/>
            <w:tabs>
              <w:tab w:val="clear" w:pos="660"/>
              <w:tab w:val="left" w:pos="851"/>
            </w:tabs>
            <w:ind w:hanging="283"/>
            <w:rPr>
              <w:rFonts w:eastAsiaTheme="minorEastAsia"/>
              <w:noProof/>
              <w:lang w:eastAsia="it-IT"/>
            </w:rPr>
          </w:pPr>
          <w:hyperlink w:anchor="_Toc187062370" w:history="1">
            <w:r w:rsidR="00D44BD1" w:rsidRPr="00D44BD1">
              <w:rPr>
                <w:rStyle w:val="Collegamentoipertestuale"/>
                <w:bCs/>
                <w:noProof/>
              </w:rPr>
              <w:t>E)</w:t>
            </w:r>
            <w:r w:rsidR="00D44BD1" w:rsidRPr="00D44BD1">
              <w:rPr>
                <w:rFonts w:eastAsiaTheme="minorEastAsia"/>
                <w:noProof/>
                <w:lang w:eastAsia="it-IT"/>
              </w:rPr>
              <w:tab/>
            </w:r>
            <w:r w:rsidR="00D44BD1" w:rsidRPr="00D44BD1">
              <w:rPr>
                <w:rStyle w:val="Collegamentoipertestuale"/>
                <w:bCs/>
                <w:noProof/>
              </w:rPr>
              <w:t>CORTE DI CASSAZIONE TERZA SEZIONE PENALE</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_Toc187062370 \h </w:instrText>
            </w:r>
            <w:r w:rsidR="00D44BD1" w:rsidRPr="00D44BD1">
              <w:rPr>
                <w:noProof/>
                <w:webHidden/>
              </w:rPr>
            </w:r>
            <w:r w:rsidR="00D44BD1" w:rsidRPr="00D44BD1">
              <w:rPr>
                <w:noProof/>
                <w:webHidden/>
              </w:rPr>
              <w:fldChar w:fldCharType="separate"/>
            </w:r>
            <w:r w:rsidR="00A01DB9">
              <w:rPr>
                <w:noProof/>
                <w:webHidden/>
              </w:rPr>
              <w:t>9</w:t>
            </w:r>
            <w:r w:rsidR="00D44BD1" w:rsidRPr="00D44BD1">
              <w:rPr>
                <w:noProof/>
                <w:webHidden/>
              </w:rPr>
              <w:fldChar w:fldCharType="end"/>
            </w:r>
          </w:hyperlink>
        </w:p>
        <w:p w14:paraId="3114D309" w14:textId="6DA1CA5C" w:rsidR="00D44BD1" w:rsidRDefault="00EC1F0C" w:rsidP="00D44BD1">
          <w:pPr>
            <w:pStyle w:val="Sommario1"/>
            <w:rPr>
              <w:rFonts w:eastAsiaTheme="minorEastAsia"/>
              <w:b w:val="0"/>
              <w:bCs w:val="0"/>
              <w:lang w:eastAsia="it-IT"/>
            </w:rPr>
          </w:pPr>
          <w:hyperlink w:anchor="_Toc187062371" w:history="1">
            <w:r w:rsidR="00D44BD1" w:rsidRPr="006B6983">
              <w:rPr>
                <w:rStyle w:val="Collegamentoipertestuale"/>
                <w:highlight w:val="yellow"/>
              </w:rPr>
              <w:t>PARTE SECONDA</w:t>
            </w:r>
            <w:r w:rsidR="00D44BD1">
              <w:rPr>
                <w:rStyle w:val="Collegamentoipertestuale"/>
                <w:highlight w:val="yellow"/>
              </w:rPr>
              <w:t xml:space="preserve"> -</w:t>
            </w:r>
            <w:r w:rsidR="00D44BD1" w:rsidRPr="00D44BD1">
              <w:rPr>
                <w:highlight w:val="yellow"/>
              </w:rPr>
              <w:t xml:space="preserve"> </w:t>
            </w:r>
            <w:r w:rsidR="00D44BD1" w:rsidRPr="00D44BD1">
              <w:rPr>
                <w:rStyle w:val="Collegamentoipertestuale"/>
                <w:highlight w:val="yellow"/>
              </w:rPr>
              <w:t>RECENTE LEGISLAZIONE</w:t>
            </w:r>
            <w:r w:rsidR="00D44BD1">
              <w:rPr>
                <w:webHidden/>
              </w:rPr>
              <w:tab/>
            </w:r>
            <w:r w:rsidR="00D44BD1" w:rsidRPr="00D44BD1">
              <w:rPr>
                <w:b w:val="0"/>
                <w:webHidden/>
              </w:rPr>
              <w:fldChar w:fldCharType="begin"/>
            </w:r>
            <w:r w:rsidR="00D44BD1" w:rsidRPr="00D44BD1">
              <w:rPr>
                <w:b w:val="0"/>
                <w:webHidden/>
              </w:rPr>
              <w:instrText xml:space="preserve"> PAGEREF _Toc187062371 \h </w:instrText>
            </w:r>
            <w:r w:rsidR="00D44BD1" w:rsidRPr="00D44BD1">
              <w:rPr>
                <w:b w:val="0"/>
                <w:webHidden/>
              </w:rPr>
            </w:r>
            <w:r w:rsidR="00D44BD1" w:rsidRPr="00D44BD1">
              <w:rPr>
                <w:b w:val="0"/>
                <w:webHidden/>
              </w:rPr>
              <w:fldChar w:fldCharType="separate"/>
            </w:r>
            <w:r w:rsidR="00A01DB9">
              <w:rPr>
                <w:b w:val="0"/>
                <w:webHidden/>
              </w:rPr>
              <w:t>11</w:t>
            </w:r>
            <w:r w:rsidR="00D44BD1" w:rsidRPr="00D44BD1">
              <w:rPr>
                <w:b w:val="0"/>
                <w:webHidden/>
              </w:rPr>
              <w:fldChar w:fldCharType="end"/>
            </w:r>
          </w:hyperlink>
        </w:p>
        <w:p w14:paraId="60485D37" w14:textId="4C75830E" w:rsidR="00D44BD1" w:rsidRDefault="00EC1F0C" w:rsidP="00D44BD1">
          <w:pPr>
            <w:pStyle w:val="Sommario1"/>
            <w:rPr>
              <w:rFonts w:eastAsiaTheme="minorEastAsia"/>
              <w:b w:val="0"/>
              <w:bCs w:val="0"/>
              <w:lang w:eastAsia="it-IT"/>
            </w:rPr>
          </w:pPr>
          <w:hyperlink w:anchor="_Toc187062373" w:history="1">
            <w:r w:rsidR="00D44BD1" w:rsidRPr="006B6983">
              <w:rPr>
                <w:rStyle w:val="Collegamentoipertestuale"/>
                <w:highlight w:val="yellow"/>
              </w:rPr>
              <w:t>PARTE TERZA</w:t>
            </w:r>
            <w:r w:rsidR="00D44BD1" w:rsidRPr="00D44BD1">
              <w:rPr>
                <w:highlight w:val="yellow"/>
              </w:rPr>
              <w:t xml:space="preserve"> </w:t>
            </w:r>
            <w:r w:rsidR="00D44BD1">
              <w:rPr>
                <w:highlight w:val="yellow"/>
              </w:rPr>
              <w:t xml:space="preserve">- </w:t>
            </w:r>
            <w:r w:rsidR="00D44BD1" w:rsidRPr="00D44BD1">
              <w:rPr>
                <w:rStyle w:val="Collegamentoipertestuale"/>
                <w:highlight w:val="yellow"/>
              </w:rPr>
              <w:t>ODIERNI CONTRASTI, CONFUSIONI E PROBLEMATICHE PENALI E TRIBUTARIE DEL NE BIS IN IDEM</w:t>
            </w:r>
            <w:r w:rsidR="00D44BD1">
              <w:rPr>
                <w:webHidden/>
              </w:rPr>
              <w:tab/>
            </w:r>
            <w:r w:rsidR="00D44BD1" w:rsidRPr="00D44BD1">
              <w:rPr>
                <w:b w:val="0"/>
                <w:webHidden/>
              </w:rPr>
              <w:fldChar w:fldCharType="begin"/>
            </w:r>
            <w:r w:rsidR="00D44BD1" w:rsidRPr="00D44BD1">
              <w:rPr>
                <w:b w:val="0"/>
                <w:webHidden/>
              </w:rPr>
              <w:instrText xml:space="preserve"> PAGEREF _Toc187062373 \h </w:instrText>
            </w:r>
            <w:r w:rsidR="00D44BD1" w:rsidRPr="00D44BD1">
              <w:rPr>
                <w:b w:val="0"/>
                <w:webHidden/>
              </w:rPr>
            </w:r>
            <w:r w:rsidR="00D44BD1" w:rsidRPr="00D44BD1">
              <w:rPr>
                <w:b w:val="0"/>
                <w:webHidden/>
              </w:rPr>
              <w:fldChar w:fldCharType="separate"/>
            </w:r>
            <w:r w:rsidR="00A01DB9">
              <w:rPr>
                <w:b w:val="0"/>
                <w:webHidden/>
              </w:rPr>
              <w:t>15</w:t>
            </w:r>
            <w:r w:rsidR="00D44BD1" w:rsidRPr="00D44BD1">
              <w:rPr>
                <w:b w:val="0"/>
                <w:webHidden/>
              </w:rPr>
              <w:fldChar w:fldCharType="end"/>
            </w:r>
          </w:hyperlink>
        </w:p>
        <w:p w14:paraId="532CE517" w14:textId="276A17E3"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75" w:history="1">
            <w:r w:rsidR="00D44BD1" w:rsidRPr="00D44BD1">
              <w:rPr>
                <w:rStyle w:val="Collegamentoipertestuale"/>
                <w:bCs/>
                <w:noProof/>
              </w:rPr>
              <w:t>A)</w:t>
            </w:r>
            <w:r w:rsidR="00D44BD1" w:rsidRPr="00D44BD1">
              <w:rPr>
                <w:rFonts w:eastAsiaTheme="minorEastAsia"/>
                <w:noProof/>
                <w:lang w:eastAsia="it-IT"/>
              </w:rPr>
              <w:tab/>
            </w:r>
            <w:r w:rsidR="00D44BD1" w:rsidRPr="00D44BD1">
              <w:rPr>
                <w:rStyle w:val="Collegamentoipertestuale"/>
                <w:bCs/>
                <w:noProof/>
              </w:rPr>
              <w:t>QUATTRO CONCETTI DI OPERAZIONI INESISTENTI. INESISTENZA GIURIDICA. CONTRASTI CON LA CORTE UE</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_Toc187062375 \h </w:instrText>
            </w:r>
            <w:r w:rsidR="00D44BD1" w:rsidRPr="00D44BD1">
              <w:rPr>
                <w:noProof/>
                <w:webHidden/>
              </w:rPr>
            </w:r>
            <w:r w:rsidR="00D44BD1" w:rsidRPr="00D44BD1">
              <w:rPr>
                <w:noProof/>
                <w:webHidden/>
              </w:rPr>
              <w:fldChar w:fldCharType="separate"/>
            </w:r>
            <w:r w:rsidR="00A01DB9">
              <w:rPr>
                <w:noProof/>
                <w:webHidden/>
              </w:rPr>
              <w:t>15</w:t>
            </w:r>
            <w:r w:rsidR="00D44BD1" w:rsidRPr="00D44BD1">
              <w:rPr>
                <w:noProof/>
                <w:webHidden/>
              </w:rPr>
              <w:fldChar w:fldCharType="end"/>
            </w:r>
          </w:hyperlink>
        </w:p>
        <w:p w14:paraId="7C5D8296" w14:textId="5BE1D6AC"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76" w:history="1">
            <w:r w:rsidR="00D44BD1" w:rsidRPr="00D44BD1">
              <w:rPr>
                <w:rStyle w:val="Collegamentoipertestuale"/>
                <w:bCs/>
                <w:noProof/>
              </w:rPr>
              <w:t>B)</w:t>
            </w:r>
            <w:r w:rsidR="00D44BD1" w:rsidRPr="00D44BD1">
              <w:rPr>
                <w:rFonts w:eastAsiaTheme="minorEastAsia"/>
                <w:noProof/>
                <w:lang w:eastAsia="it-IT"/>
              </w:rPr>
              <w:tab/>
            </w:r>
            <w:r w:rsidR="00D44BD1" w:rsidRPr="00D44BD1">
              <w:rPr>
                <w:rStyle w:val="Collegamentoipertestuale"/>
                <w:bCs/>
                <w:noProof/>
              </w:rPr>
              <w:t>CORTE DI CASSAZIONE – QUINTA SEZIONE PENALE – CONCORSO DI REATI</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_Toc187062376 \h </w:instrText>
            </w:r>
            <w:r w:rsidR="00D44BD1" w:rsidRPr="00D44BD1">
              <w:rPr>
                <w:noProof/>
                <w:webHidden/>
              </w:rPr>
            </w:r>
            <w:r w:rsidR="00D44BD1" w:rsidRPr="00D44BD1">
              <w:rPr>
                <w:noProof/>
                <w:webHidden/>
              </w:rPr>
              <w:fldChar w:fldCharType="separate"/>
            </w:r>
            <w:r w:rsidR="00A01DB9">
              <w:rPr>
                <w:noProof/>
                <w:webHidden/>
              </w:rPr>
              <w:t>17</w:t>
            </w:r>
            <w:r w:rsidR="00D44BD1" w:rsidRPr="00D44BD1">
              <w:rPr>
                <w:noProof/>
                <w:webHidden/>
              </w:rPr>
              <w:fldChar w:fldCharType="end"/>
            </w:r>
          </w:hyperlink>
        </w:p>
        <w:p w14:paraId="54BE9BFD" w14:textId="4788E1D2"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82" w:history="1">
            <w:r w:rsidR="00D44BD1" w:rsidRPr="00D44BD1">
              <w:rPr>
                <w:rStyle w:val="Collegamentoipertestuale"/>
                <w:bCs/>
                <w:noProof/>
              </w:rPr>
              <w:t>C)</w:t>
            </w:r>
            <w:r w:rsidR="00D44BD1" w:rsidRPr="00D44BD1">
              <w:rPr>
                <w:rFonts w:eastAsiaTheme="minorEastAsia"/>
                <w:noProof/>
                <w:lang w:eastAsia="it-IT"/>
              </w:rPr>
              <w:tab/>
            </w:r>
            <w:r w:rsidR="00D44BD1" w:rsidRPr="00D44BD1">
              <w:rPr>
                <w:rStyle w:val="Collegamentoipertestuale"/>
                <w:bCs/>
                <w:noProof/>
              </w:rPr>
              <w:t>CORTE DI CASSAZIONE – TERZA SEZIONE PENALE – NON SI TIENE CONTO DELLE PRESUNZIONI TRIBUTARIE</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_Toc187062382 \h </w:instrText>
            </w:r>
            <w:r w:rsidR="00D44BD1" w:rsidRPr="00D44BD1">
              <w:rPr>
                <w:noProof/>
                <w:webHidden/>
              </w:rPr>
            </w:r>
            <w:r w:rsidR="00D44BD1" w:rsidRPr="00D44BD1">
              <w:rPr>
                <w:noProof/>
                <w:webHidden/>
              </w:rPr>
              <w:fldChar w:fldCharType="separate"/>
            </w:r>
            <w:r w:rsidR="00A01DB9">
              <w:rPr>
                <w:noProof/>
                <w:webHidden/>
              </w:rPr>
              <w:t>18</w:t>
            </w:r>
            <w:r w:rsidR="00D44BD1" w:rsidRPr="00D44BD1">
              <w:rPr>
                <w:noProof/>
                <w:webHidden/>
              </w:rPr>
              <w:fldChar w:fldCharType="end"/>
            </w:r>
          </w:hyperlink>
        </w:p>
        <w:p w14:paraId="078A727F" w14:textId="381B4BFC"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89" w:history="1">
            <w:r w:rsidR="00D44BD1" w:rsidRPr="00D44BD1">
              <w:rPr>
                <w:rStyle w:val="Collegamentoipertestuale"/>
                <w:bCs/>
                <w:noProof/>
              </w:rPr>
              <w:t>D)</w:t>
            </w:r>
            <w:r w:rsidR="00D44BD1" w:rsidRPr="00D44BD1">
              <w:rPr>
                <w:rFonts w:eastAsiaTheme="minorEastAsia"/>
                <w:noProof/>
                <w:lang w:eastAsia="it-IT"/>
              </w:rPr>
              <w:tab/>
            </w:r>
            <w:r w:rsidR="00D44BD1" w:rsidRPr="00D44BD1">
              <w:rPr>
                <w:rStyle w:val="Collegamentoipertestuale"/>
                <w:bCs/>
                <w:noProof/>
              </w:rPr>
              <w:t>CORTE DI CASSAZIONE – TERZA SEZIONE PENALE – NESSUNA DIFFERENZA TRA OPERAZIONE INESISTENTE OGGETTIVA E SOGGETTIVA</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_Toc187062389 \h </w:instrText>
            </w:r>
            <w:r w:rsidR="00D44BD1" w:rsidRPr="00D44BD1">
              <w:rPr>
                <w:noProof/>
                <w:webHidden/>
              </w:rPr>
            </w:r>
            <w:r w:rsidR="00D44BD1" w:rsidRPr="00D44BD1">
              <w:rPr>
                <w:noProof/>
                <w:webHidden/>
              </w:rPr>
              <w:fldChar w:fldCharType="separate"/>
            </w:r>
            <w:r w:rsidR="00A01DB9">
              <w:rPr>
                <w:noProof/>
                <w:webHidden/>
              </w:rPr>
              <w:t>19</w:t>
            </w:r>
            <w:r w:rsidR="00D44BD1" w:rsidRPr="00D44BD1">
              <w:rPr>
                <w:noProof/>
                <w:webHidden/>
              </w:rPr>
              <w:fldChar w:fldCharType="end"/>
            </w:r>
          </w:hyperlink>
        </w:p>
        <w:p w14:paraId="65573053" w14:textId="0DC9DE90"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90" w:history="1">
            <w:r w:rsidR="00D44BD1" w:rsidRPr="00D44BD1">
              <w:rPr>
                <w:rStyle w:val="Collegamentoipertestuale"/>
                <w:bCs/>
                <w:noProof/>
              </w:rPr>
              <w:t>E)</w:t>
            </w:r>
            <w:r w:rsidR="00D44BD1" w:rsidRPr="00D44BD1">
              <w:rPr>
                <w:rFonts w:eastAsiaTheme="minorEastAsia"/>
                <w:noProof/>
                <w:lang w:eastAsia="it-IT"/>
              </w:rPr>
              <w:tab/>
            </w:r>
            <w:r w:rsidR="00D44BD1" w:rsidRPr="00D44BD1">
              <w:rPr>
                <w:rStyle w:val="Collegamentoipertestuale"/>
                <w:bCs/>
                <w:noProof/>
              </w:rPr>
              <w:t>CORTE DI CASSAZIONE – SEZIONE TRIBUTARIA – DISTINZIONE TRA OPERAZIONE OGGETTIVAMENTE E SOGGETTIVAMENTE INESISTENTE – OPERAZIONE SOGGETTIVAMENTE INESISTENTE AI FINI I.V.A.</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_Toc187062390 \h </w:instrText>
            </w:r>
            <w:r w:rsidR="00D44BD1" w:rsidRPr="00D44BD1">
              <w:rPr>
                <w:noProof/>
                <w:webHidden/>
              </w:rPr>
            </w:r>
            <w:r w:rsidR="00D44BD1" w:rsidRPr="00D44BD1">
              <w:rPr>
                <w:noProof/>
                <w:webHidden/>
              </w:rPr>
              <w:fldChar w:fldCharType="separate"/>
            </w:r>
            <w:r w:rsidR="00A01DB9">
              <w:rPr>
                <w:noProof/>
                <w:webHidden/>
              </w:rPr>
              <w:t>20</w:t>
            </w:r>
            <w:r w:rsidR="00D44BD1" w:rsidRPr="00D44BD1">
              <w:rPr>
                <w:noProof/>
                <w:webHidden/>
              </w:rPr>
              <w:fldChar w:fldCharType="end"/>
            </w:r>
          </w:hyperlink>
        </w:p>
        <w:p w14:paraId="5CE5D736" w14:textId="5AAC5A47"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91" w:history="1">
            <w:r w:rsidR="00D44BD1" w:rsidRPr="00D44BD1">
              <w:rPr>
                <w:rStyle w:val="Collegamentoipertestuale"/>
                <w:bCs/>
                <w:noProof/>
              </w:rPr>
              <w:t>F)</w:t>
            </w:r>
            <w:r w:rsidR="00D44BD1" w:rsidRPr="00D44BD1">
              <w:rPr>
                <w:rFonts w:eastAsiaTheme="minorEastAsia"/>
                <w:noProof/>
                <w:lang w:eastAsia="it-IT"/>
              </w:rPr>
              <w:tab/>
            </w:r>
            <w:r w:rsidR="00D44BD1" w:rsidRPr="00D44BD1">
              <w:rPr>
                <w:rStyle w:val="Collegamentoipertestuale"/>
                <w:bCs/>
                <w:noProof/>
              </w:rPr>
              <w:t>CORTE DI CASSAZIONE – SEZIONE QUINTA CIVILE (TRIBUTARIA) – OPERAZIONE SOGGETTIVAMENTE INESISTENTE AI FINI DELLE IMPOSTE DIRETTE</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_Toc187062391 \h </w:instrText>
            </w:r>
            <w:r w:rsidR="00D44BD1" w:rsidRPr="00D44BD1">
              <w:rPr>
                <w:noProof/>
                <w:webHidden/>
              </w:rPr>
            </w:r>
            <w:r w:rsidR="00D44BD1" w:rsidRPr="00D44BD1">
              <w:rPr>
                <w:noProof/>
                <w:webHidden/>
              </w:rPr>
              <w:fldChar w:fldCharType="separate"/>
            </w:r>
            <w:r w:rsidR="00A01DB9">
              <w:rPr>
                <w:noProof/>
                <w:webHidden/>
              </w:rPr>
              <w:t>21</w:t>
            </w:r>
            <w:r w:rsidR="00D44BD1" w:rsidRPr="00D44BD1">
              <w:rPr>
                <w:noProof/>
                <w:webHidden/>
              </w:rPr>
              <w:fldChar w:fldCharType="end"/>
            </w:r>
          </w:hyperlink>
        </w:p>
        <w:p w14:paraId="787E2481" w14:textId="5A4A7F05" w:rsidR="00D44BD1" w:rsidRPr="00D44BD1" w:rsidRDefault="00EC1F0C" w:rsidP="00D44BD1">
          <w:pPr>
            <w:pStyle w:val="Sommario2"/>
            <w:tabs>
              <w:tab w:val="clear" w:pos="660"/>
              <w:tab w:val="left" w:pos="709"/>
            </w:tabs>
            <w:ind w:hanging="283"/>
            <w:rPr>
              <w:rFonts w:eastAsiaTheme="minorEastAsia"/>
              <w:noProof/>
              <w:lang w:eastAsia="it-IT"/>
            </w:rPr>
          </w:pPr>
          <w:hyperlink w:anchor="_Toc187062392" w:history="1">
            <w:r w:rsidR="00D44BD1" w:rsidRPr="00D44BD1">
              <w:rPr>
                <w:rStyle w:val="Collegamentoipertestuale"/>
                <w:bCs/>
                <w:noProof/>
              </w:rPr>
              <w:t>G)</w:t>
            </w:r>
            <w:r w:rsidR="00D44BD1" w:rsidRPr="00D44BD1">
              <w:rPr>
                <w:rFonts w:eastAsiaTheme="minorEastAsia"/>
                <w:noProof/>
                <w:lang w:eastAsia="it-IT"/>
              </w:rPr>
              <w:tab/>
            </w:r>
            <w:r w:rsidR="00D44BD1" w:rsidRPr="00D44BD1">
              <w:rPr>
                <w:rStyle w:val="Collegamentoipertestuale"/>
                <w:bCs/>
                <w:noProof/>
              </w:rPr>
              <w:t>CREDITI D’IMPOSTA INESISTENTI E CREDITI D’IMPOSTA NON SPETTANTI</w:t>
            </w:r>
            <w:r w:rsidR="00D44BD1" w:rsidRPr="00D44BD1">
              <w:rPr>
                <w:noProof/>
                <w:webHidden/>
              </w:rPr>
              <w:tab/>
            </w:r>
            <w:r w:rsidR="00D44BD1" w:rsidRPr="00D44BD1">
              <w:rPr>
                <w:noProof/>
                <w:webHidden/>
              </w:rPr>
              <w:fldChar w:fldCharType="begin"/>
            </w:r>
            <w:r w:rsidR="00D44BD1" w:rsidRPr="00D44BD1">
              <w:rPr>
                <w:noProof/>
                <w:webHidden/>
              </w:rPr>
              <w:instrText xml:space="preserve"> PAGEREF _Toc187062392 \h </w:instrText>
            </w:r>
            <w:r w:rsidR="00D44BD1" w:rsidRPr="00D44BD1">
              <w:rPr>
                <w:noProof/>
                <w:webHidden/>
              </w:rPr>
            </w:r>
            <w:r w:rsidR="00D44BD1" w:rsidRPr="00D44BD1">
              <w:rPr>
                <w:noProof/>
                <w:webHidden/>
              </w:rPr>
              <w:fldChar w:fldCharType="separate"/>
            </w:r>
            <w:r w:rsidR="00A01DB9">
              <w:rPr>
                <w:noProof/>
                <w:webHidden/>
              </w:rPr>
              <w:t>22</w:t>
            </w:r>
            <w:r w:rsidR="00D44BD1" w:rsidRPr="00D44BD1">
              <w:rPr>
                <w:noProof/>
                <w:webHidden/>
              </w:rPr>
              <w:fldChar w:fldCharType="end"/>
            </w:r>
          </w:hyperlink>
        </w:p>
        <w:p w14:paraId="5A947CB7" w14:textId="4971F97F" w:rsidR="00D44BD1" w:rsidRPr="00D44BD1" w:rsidRDefault="00EC1F0C" w:rsidP="00D44BD1">
          <w:pPr>
            <w:pStyle w:val="Sommario1"/>
            <w:tabs>
              <w:tab w:val="left" w:pos="709"/>
            </w:tabs>
            <w:rPr>
              <w:rFonts w:eastAsiaTheme="minorEastAsia"/>
              <w:b w:val="0"/>
              <w:bCs w:val="0"/>
              <w:lang w:eastAsia="it-IT"/>
            </w:rPr>
          </w:pPr>
          <w:hyperlink w:anchor="_Toc187062393" w:history="1">
            <w:r w:rsidR="00D44BD1" w:rsidRPr="00D44BD1">
              <w:rPr>
                <w:rStyle w:val="Collegamentoipertestuale"/>
                <w:highlight w:val="yellow"/>
              </w:rPr>
              <w:t>PARTE QUARTA</w:t>
            </w:r>
            <w:r w:rsidR="00D44BD1" w:rsidRPr="00D44BD1">
              <w:rPr>
                <w:highlight w:val="yellow"/>
              </w:rPr>
              <w:t xml:space="preserve"> - </w:t>
            </w:r>
            <w:r w:rsidR="00D44BD1" w:rsidRPr="00D44BD1">
              <w:rPr>
                <w:rStyle w:val="Collegamentoipertestuale"/>
                <w:highlight w:val="yellow"/>
              </w:rPr>
              <w:t>CONCLUSIONI – NUOVA LEGGE DELEGA DI RIFORMA COSTITUZIONALE</w:t>
            </w:r>
            <w:r w:rsidR="00D44BD1" w:rsidRPr="00D44BD1">
              <w:rPr>
                <w:b w:val="0"/>
                <w:webHidden/>
              </w:rPr>
              <w:tab/>
            </w:r>
            <w:r w:rsidR="00D44BD1" w:rsidRPr="00D44BD1">
              <w:rPr>
                <w:b w:val="0"/>
                <w:webHidden/>
              </w:rPr>
              <w:fldChar w:fldCharType="begin"/>
            </w:r>
            <w:r w:rsidR="00D44BD1" w:rsidRPr="00D44BD1">
              <w:rPr>
                <w:b w:val="0"/>
                <w:webHidden/>
              </w:rPr>
              <w:instrText xml:space="preserve"> PAGEREF _Toc187062393 \h </w:instrText>
            </w:r>
            <w:r w:rsidR="00D44BD1" w:rsidRPr="00D44BD1">
              <w:rPr>
                <w:b w:val="0"/>
                <w:webHidden/>
              </w:rPr>
            </w:r>
            <w:r w:rsidR="00D44BD1" w:rsidRPr="00D44BD1">
              <w:rPr>
                <w:b w:val="0"/>
                <w:webHidden/>
              </w:rPr>
              <w:fldChar w:fldCharType="separate"/>
            </w:r>
            <w:r w:rsidR="00A01DB9">
              <w:rPr>
                <w:b w:val="0"/>
                <w:webHidden/>
              </w:rPr>
              <w:t>24</w:t>
            </w:r>
            <w:r w:rsidR="00D44BD1" w:rsidRPr="00D44BD1">
              <w:rPr>
                <w:b w:val="0"/>
                <w:webHidden/>
              </w:rPr>
              <w:fldChar w:fldCharType="end"/>
            </w:r>
          </w:hyperlink>
        </w:p>
        <w:p w14:paraId="2D3A208E" w14:textId="4084F508" w:rsidR="00885A9F" w:rsidRDefault="00D44BD1" w:rsidP="00D44BD1">
          <w:r>
            <w:rPr>
              <w:b/>
              <w:bCs/>
            </w:rPr>
            <w:fldChar w:fldCharType="end"/>
          </w:r>
        </w:p>
      </w:sdtContent>
    </w:sdt>
    <w:p w14:paraId="79B20D9A" w14:textId="78AA9BE3" w:rsidR="00461511" w:rsidRDefault="00E54B39" w:rsidP="00703A61">
      <w:pPr>
        <w:spacing w:line="360" w:lineRule="auto"/>
        <w:contextualSpacing/>
        <w:jc w:val="center"/>
        <w:rPr>
          <w:b/>
          <w:bCs/>
          <w:sz w:val="24"/>
          <w:szCs w:val="24"/>
        </w:rPr>
      </w:pPr>
      <w:r>
        <w:rPr>
          <w:b/>
          <w:bCs/>
          <w:sz w:val="24"/>
          <w:szCs w:val="24"/>
        </w:rPr>
        <w:t>****</w:t>
      </w:r>
    </w:p>
    <w:p w14:paraId="0AC45989" w14:textId="77777777" w:rsidR="00703A61" w:rsidRDefault="00703A61" w:rsidP="00A82345">
      <w:pPr>
        <w:spacing w:line="360" w:lineRule="auto"/>
        <w:contextualSpacing/>
        <w:jc w:val="both"/>
        <w:rPr>
          <w:b/>
          <w:bCs/>
          <w:sz w:val="24"/>
          <w:szCs w:val="24"/>
        </w:rPr>
      </w:pPr>
    </w:p>
    <w:p w14:paraId="43DCE023" w14:textId="442B4F06" w:rsidR="007A1462" w:rsidRPr="00311A45" w:rsidRDefault="007A1462" w:rsidP="00A82345">
      <w:pPr>
        <w:spacing w:line="360" w:lineRule="auto"/>
        <w:contextualSpacing/>
        <w:jc w:val="both"/>
        <w:rPr>
          <w:b/>
          <w:bCs/>
          <w:sz w:val="24"/>
          <w:szCs w:val="24"/>
        </w:rPr>
      </w:pPr>
      <w:r w:rsidRPr="00311A45">
        <w:rPr>
          <w:b/>
          <w:bCs/>
          <w:sz w:val="24"/>
          <w:szCs w:val="24"/>
        </w:rPr>
        <w:lastRenderedPageBreak/>
        <w:t>Dopo 160 anni, finalmente, la Legge n. 130 del 31 agosto 2022 ha istituito la QUINTA MAGISTRATURA TRIBUTARIA.</w:t>
      </w:r>
    </w:p>
    <w:p w14:paraId="203D6D5E" w14:textId="733239E9" w:rsidR="007A1462" w:rsidRPr="001D1A17" w:rsidRDefault="007A1462" w:rsidP="007A1462">
      <w:pPr>
        <w:spacing w:line="360" w:lineRule="auto"/>
        <w:contextualSpacing/>
        <w:rPr>
          <w:sz w:val="24"/>
          <w:szCs w:val="24"/>
        </w:rPr>
      </w:pPr>
      <w:r w:rsidRPr="001D1A17">
        <w:rPr>
          <w:sz w:val="24"/>
          <w:szCs w:val="24"/>
        </w:rPr>
        <w:t xml:space="preserve">A tal proposito, molto opportunamente, la </w:t>
      </w:r>
      <w:r w:rsidRPr="001D1A17">
        <w:rPr>
          <w:b/>
          <w:bCs/>
          <w:sz w:val="24"/>
          <w:szCs w:val="24"/>
        </w:rPr>
        <w:t>Corte Costituzionale, con la recente e condivisibile sentenza n. 204 del 17 dicembre 2024</w:t>
      </w:r>
      <w:r w:rsidR="0089166C">
        <w:rPr>
          <w:b/>
          <w:bCs/>
          <w:sz w:val="24"/>
          <w:szCs w:val="24"/>
        </w:rPr>
        <w:t>,</w:t>
      </w:r>
      <w:r w:rsidRPr="001D1A17">
        <w:rPr>
          <w:sz w:val="24"/>
          <w:szCs w:val="24"/>
        </w:rPr>
        <w:t xml:space="preserve"> ha stabilito che:</w:t>
      </w:r>
    </w:p>
    <w:p w14:paraId="359FABDE" w14:textId="77777777" w:rsidR="007A1462" w:rsidRPr="0089166C" w:rsidRDefault="007A1462" w:rsidP="007A1462">
      <w:pPr>
        <w:spacing w:line="276" w:lineRule="auto"/>
        <w:ind w:left="567" w:right="849"/>
        <w:contextualSpacing/>
        <w:jc w:val="both"/>
        <w:rPr>
          <w:b/>
          <w:i/>
          <w:iCs/>
          <w:sz w:val="24"/>
          <w:szCs w:val="24"/>
        </w:rPr>
      </w:pPr>
      <w:r w:rsidRPr="001D1A17">
        <w:rPr>
          <w:i/>
          <w:iCs/>
          <w:sz w:val="24"/>
          <w:szCs w:val="24"/>
        </w:rPr>
        <w:t xml:space="preserve">“Questa Corte, confermando l'indirizzo già assunto fin dalla sentenza n. 41 del 1957 (e ribadito nella sentenza n. 215 del 1976) sulla VI disposizione transitoria e finale della Costituzione, con ordinanza n. 144 del 1998, ha chiarito che l'«ampliamento della competenza delle commissioni tributarie non vale a far ritenere nuovo il giudice tributario in modo tale da ravvisarsi un diverso giudice speciale, in quanto è rimasto non snaturato né il sistema di estrazione dei giudici (anzi migliorato dal punto di vista dei requisiti di idoneità e di qualificazione professionale e delle incompatibilità), né la giurisdizione nell'ambito delle controversie tributarie» e che </w:t>
      </w:r>
      <w:r w:rsidRPr="0089166C">
        <w:rPr>
          <w:b/>
          <w:i/>
          <w:iCs/>
          <w:sz w:val="24"/>
          <w:szCs w:val="24"/>
        </w:rPr>
        <w:t>«pertanto le attuali commissioni tributarie non possono essere considerate, agli effetti del combinato disposto dell'art. 102 e VI disposizione transitoria della Costituzione, nuovi giudici speciali, come tali vietati».</w:t>
      </w:r>
    </w:p>
    <w:p w14:paraId="49913C10" w14:textId="77777777" w:rsidR="007A1462" w:rsidRPr="007A1462" w:rsidRDefault="007A1462" w:rsidP="007A1462">
      <w:pPr>
        <w:spacing w:line="276" w:lineRule="auto"/>
        <w:ind w:left="567" w:right="849"/>
        <w:contextualSpacing/>
        <w:jc w:val="both"/>
        <w:rPr>
          <w:i/>
          <w:iCs/>
          <w:sz w:val="24"/>
          <w:szCs w:val="24"/>
        </w:rPr>
      </w:pPr>
      <w:r w:rsidRPr="007A1462">
        <w:rPr>
          <w:i/>
          <w:iCs/>
          <w:sz w:val="24"/>
          <w:szCs w:val="24"/>
        </w:rPr>
        <w:t>La modifica della disciplina della giustizia tributaria realizzata con la legge n. 130 del 2022 - che si colloca nell'ambito degli interventi previsti nel PNRR per superare le criticità del "sistema Paese" - vuole rappresentare una risposta organica e di sistema per risolvere molte delle problematicità insite nel precedente assetto ordinamentale.</w:t>
      </w:r>
    </w:p>
    <w:p w14:paraId="63BA188A" w14:textId="77777777" w:rsidR="007A1462" w:rsidRPr="007A1462" w:rsidRDefault="007A1462" w:rsidP="007A1462">
      <w:pPr>
        <w:spacing w:line="276" w:lineRule="auto"/>
        <w:ind w:left="567" w:right="849"/>
        <w:contextualSpacing/>
        <w:jc w:val="both"/>
        <w:rPr>
          <w:i/>
          <w:iCs/>
          <w:sz w:val="24"/>
          <w:szCs w:val="24"/>
        </w:rPr>
      </w:pPr>
      <w:r w:rsidRPr="007A1462">
        <w:rPr>
          <w:i/>
          <w:iCs/>
          <w:sz w:val="24"/>
          <w:szCs w:val="24"/>
        </w:rPr>
        <w:t>Intervenendo su taluni aspetti cruciali e delicati della giustizia e del processo tributari, la novella normativa ha avvicinato molto la giurisdizione tributaria a quella ordinaria.</w:t>
      </w:r>
    </w:p>
    <w:p w14:paraId="754C4118" w14:textId="35E719AA" w:rsidR="007A1462" w:rsidRPr="00EF2168" w:rsidRDefault="007A1462" w:rsidP="007A1462">
      <w:pPr>
        <w:spacing w:line="276" w:lineRule="auto"/>
        <w:ind w:left="567" w:right="849"/>
        <w:contextualSpacing/>
        <w:jc w:val="both"/>
        <w:rPr>
          <w:b/>
          <w:i/>
          <w:iCs/>
          <w:sz w:val="24"/>
          <w:szCs w:val="24"/>
        </w:rPr>
      </w:pPr>
      <w:r w:rsidRPr="00EF2168">
        <w:rPr>
          <w:b/>
          <w:i/>
          <w:iCs/>
          <w:sz w:val="24"/>
          <w:szCs w:val="24"/>
        </w:rPr>
        <w:t>Si tratta di una riforma che, a completamento di un percorso di 160 anni, ha contribuito in modo decisivo a realizzare nel nostro ordinamento una giurisdizione (che si affianca a quella ordinaria, amministrativa, contabile e militare), composta, a regime, da magistrati tributari: a) professionali a tempo pieno; b) selezionati con pubblico concorso; c) specializzati nella materia tributaria.”</w:t>
      </w:r>
    </w:p>
    <w:p w14:paraId="2EEE96AF" w14:textId="77777777" w:rsidR="00BB1B83" w:rsidRDefault="00BB1B83" w:rsidP="00BB1B83">
      <w:pPr>
        <w:spacing w:line="360" w:lineRule="auto"/>
        <w:contextualSpacing/>
        <w:rPr>
          <w:sz w:val="24"/>
          <w:szCs w:val="24"/>
        </w:rPr>
      </w:pPr>
    </w:p>
    <w:p w14:paraId="0E0CD9D9" w14:textId="79FE617B" w:rsidR="007A1462" w:rsidRPr="004E3BEE" w:rsidRDefault="00BB1B83" w:rsidP="00BB1B83">
      <w:pPr>
        <w:spacing w:line="360" w:lineRule="auto"/>
        <w:contextualSpacing/>
        <w:rPr>
          <w:b/>
          <w:bCs/>
          <w:sz w:val="24"/>
          <w:szCs w:val="24"/>
        </w:rPr>
      </w:pPr>
      <w:r w:rsidRPr="004E3BEE">
        <w:rPr>
          <w:b/>
          <w:bCs/>
          <w:sz w:val="24"/>
          <w:szCs w:val="24"/>
        </w:rPr>
        <w:t>Certo, per completare la riforma della giustizia tributaria:</w:t>
      </w:r>
    </w:p>
    <w:p w14:paraId="6D4D522E" w14:textId="19569AB0" w:rsidR="001F48D9" w:rsidRDefault="001F48D9" w:rsidP="00BB1B83">
      <w:pPr>
        <w:pStyle w:val="Paragrafoelenco"/>
        <w:numPr>
          <w:ilvl w:val="0"/>
          <w:numId w:val="20"/>
        </w:numPr>
        <w:spacing w:line="360" w:lineRule="auto"/>
        <w:jc w:val="both"/>
        <w:rPr>
          <w:b/>
          <w:bCs/>
          <w:sz w:val="24"/>
          <w:szCs w:val="24"/>
        </w:rPr>
      </w:pPr>
      <w:r>
        <w:rPr>
          <w:b/>
          <w:bCs/>
          <w:sz w:val="24"/>
          <w:szCs w:val="24"/>
        </w:rPr>
        <w:t>innanzitutto, bisogna inserire la giustizia tributaria nella Costituzione;</w:t>
      </w:r>
    </w:p>
    <w:p w14:paraId="2FC37F7B" w14:textId="6B32A5D1" w:rsidR="00BB1B83" w:rsidRPr="004E3BEE" w:rsidRDefault="001F48D9" w:rsidP="00BB1B83">
      <w:pPr>
        <w:pStyle w:val="Paragrafoelenco"/>
        <w:numPr>
          <w:ilvl w:val="0"/>
          <w:numId w:val="20"/>
        </w:numPr>
        <w:spacing w:line="360" w:lineRule="auto"/>
        <w:jc w:val="both"/>
        <w:rPr>
          <w:b/>
          <w:bCs/>
          <w:sz w:val="24"/>
          <w:szCs w:val="24"/>
        </w:rPr>
      </w:pPr>
      <w:r>
        <w:rPr>
          <w:b/>
          <w:bCs/>
          <w:sz w:val="24"/>
          <w:szCs w:val="24"/>
        </w:rPr>
        <w:t xml:space="preserve">bisogna </w:t>
      </w:r>
      <w:r w:rsidR="00BB1B83" w:rsidRPr="004E3BEE">
        <w:rPr>
          <w:b/>
          <w:bCs/>
          <w:sz w:val="24"/>
          <w:szCs w:val="24"/>
        </w:rPr>
        <w:t>affidare la gestione e l’organizzazione alla Presidenza del Consiglio dei Ministri e non più al M.E.F., per rispettare i principi di autonomia ed indipendenza, anche all’apparenza, previsti dall’art. 111, secondo comma, della Costituzione;</w:t>
      </w:r>
    </w:p>
    <w:p w14:paraId="05F3B09A" w14:textId="76CF0C6E" w:rsidR="00BB1B83" w:rsidRPr="004E3BEE" w:rsidRDefault="00BB1B83" w:rsidP="00BB1B83">
      <w:pPr>
        <w:pStyle w:val="Paragrafoelenco"/>
        <w:numPr>
          <w:ilvl w:val="0"/>
          <w:numId w:val="20"/>
        </w:numPr>
        <w:spacing w:line="360" w:lineRule="auto"/>
        <w:jc w:val="both"/>
        <w:rPr>
          <w:b/>
          <w:bCs/>
          <w:sz w:val="24"/>
          <w:szCs w:val="24"/>
        </w:rPr>
      </w:pPr>
      <w:r w:rsidRPr="004E3BEE">
        <w:rPr>
          <w:b/>
          <w:bCs/>
          <w:sz w:val="24"/>
          <w:szCs w:val="24"/>
        </w:rPr>
        <w:t xml:space="preserve">gli appartenenti alla magistratura tributaria speciale </w:t>
      </w:r>
      <w:r w:rsidR="001F48D9">
        <w:rPr>
          <w:b/>
          <w:bCs/>
          <w:sz w:val="24"/>
          <w:szCs w:val="24"/>
        </w:rPr>
        <w:t xml:space="preserve">e professionale </w:t>
      </w:r>
      <w:r w:rsidRPr="004E3BEE">
        <w:rPr>
          <w:b/>
          <w:bCs/>
          <w:sz w:val="24"/>
          <w:szCs w:val="24"/>
        </w:rPr>
        <w:t>devono poter far parte della Corte di Cassazione – Sezione Tributaria.</w:t>
      </w:r>
    </w:p>
    <w:p w14:paraId="015E9192" w14:textId="5FD9A104" w:rsidR="004F665F" w:rsidRDefault="007A1462" w:rsidP="001D039C">
      <w:pPr>
        <w:spacing w:line="360" w:lineRule="auto"/>
        <w:contextualSpacing/>
        <w:jc w:val="both"/>
        <w:rPr>
          <w:sz w:val="24"/>
          <w:szCs w:val="24"/>
        </w:rPr>
      </w:pPr>
      <w:r w:rsidRPr="001D1A17">
        <w:rPr>
          <w:sz w:val="24"/>
          <w:szCs w:val="24"/>
        </w:rPr>
        <w:t>Questa importante riforma può essere l’occasione per risolvere definitivamente il problema penale</w:t>
      </w:r>
      <w:r w:rsidR="005F46CC">
        <w:rPr>
          <w:sz w:val="24"/>
          <w:szCs w:val="24"/>
        </w:rPr>
        <w:t xml:space="preserve"> e </w:t>
      </w:r>
      <w:r w:rsidRPr="001D1A17">
        <w:rPr>
          <w:sz w:val="24"/>
          <w:szCs w:val="24"/>
        </w:rPr>
        <w:t xml:space="preserve">tributario del </w:t>
      </w:r>
      <w:r w:rsidRPr="00C86805">
        <w:rPr>
          <w:b/>
          <w:bCs/>
          <w:i/>
          <w:iCs/>
          <w:sz w:val="24"/>
          <w:szCs w:val="24"/>
        </w:rPr>
        <w:t>ne bis in idem</w:t>
      </w:r>
      <w:r w:rsidRPr="001D1A17">
        <w:rPr>
          <w:i/>
          <w:iCs/>
          <w:sz w:val="24"/>
          <w:szCs w:val="24"/>
        </w:rPr>
        <w:t xml:space="preserve">, </w:t>
      </w:r>
      <w:r w:rsidRPr="001D1A17">
        <w:rPr>
          <w:sz w:val="24"/>
          <w:szCs w:val="24"/>
        </w:rPr>
        <w:t>disciplinato</w:t>
      </w:r>
      <w:r w:rsidR="004F665F">
        <w:rPr>
          <w:sz w:val="24"/>
          <w:szCs w:val="24"/>
        </w:rPr>
        <w:t>:</w:t>
      </w:r>
    </w:p>
    <w:p w14:paraId="01741216" w14:textId="3060E910" w:rsidR="004F665F" w:rsidRDefault="007A1462" w:rsidP="004F665F">
      <w:pPr>
        <w:pStyle w:val="Paragrafoelenco"/>
        <w:numPr>
          <w:ilvl w:val="0"/>
          <w:numId w:val="19"/>
        </w:numPr>
        <w:spacing w:line="360" w:lineRule="auto"/>
        <w:jc w:val="both"/>
        <w:rPr>
          <w:sz w:val="24"/>
          <w:szCs w:val="24"/>
        </w:rPr>
      </w:pPr>
      <w:r w:rsidRPr="004F665F">
        <w:rPr>
          <w:b/>
          <w:bCs/>
          <w:sz w:val="24"/>
          <w:szCs w:val="24"/>
        </w:rPr>
        <w:t>dall’art. 649, primo comma, c.p.p.,</w:t>
      </w:r>
      <w:r w:rsidRPr="004F665F">
        <w:rPr>
          <w:sz w:val="24"/>
          <w:szCs w:val="24"/>
        </w:rPr>
        <w:t xml:space="preserve"> che testualmente dispone:</w:t>
      </w:r>
    </w:p>
    <w:p w14:paraId="0DCD3E64" w14:textId="17767260" w:rsidR="004F665F" w:rsidRDefault="004F665F" w:rsidP="004F665F">
      <w:pPr>
        <w:pStyle w:val="Paragrafoelenco"/>
        <w:spacing w:line="240" w:lineRule="auto"/>
        <w:ind w:right="849"/>
        <w:jc w:val="both"/>
        <w:rPr>
          <w:i/>
          <w:iCs/>
          <w:sz w:val="24"/>
          <w:szCs w:val="24"/>
        </w:rPr>
      </w:pPr>
      <w:r w:rsidRPr="004F665F">
        <w:rPr>
          <w:i/>
          <w:iCs/>
          <w:sz w:val="24"/>
          <w:szCs w:val="24"/>
        </w:rPr>
        <w:lastRenderedPageBreak/>
        <w:t xml:space="preserve">“1. </w:t>
      </w:r>
      <w:r w:rsidRPr="004F665F">
        <w:rPr>
          <w:b/>
          <w:bCs/>
          <w:i/>
          <w:iCs/>
          <w:sz w:val="24"/>
          <w:szCs w:val="24"/>
        </w:rPr>
        <w:t xml:space="preserve">L'imputato </w:t>
      </w:r>
      <w:hyperlink r:id="rId8" w:history="1">
        <w:r w:rsidRPr="004F665F">
          <w:rPr>
            <w:rStyle w:val="Collegamentoipertestuale"/>
            <w:b/>
            <w:bCs/>
            <w:i/>
            <w:iCs/>
            <w:color w:val="auto"/>
            <w:sz w:val="24"/>
            <w:szCs w:val="24"/>
            <w:u w:val="none"/>
          </w:rPr>
          <w:t>prosciolto</w:t>
        </w:r>
      </w:hyperlink>
      <w:r w:rsidRPr="004F665F">
        <w:rPr>
          <w:b/>
          <w:bCs/>
          <w:i/>
          <w:iCs/>
          <w:sz w:val="24"/>
          <w:szCs w:val="24"/>
        </w:rPr>
        <w:t xml:space="preserve"> o </w:t>
      </w:r>
      <w:hyperlink r:id="rId9" w:history="1">
        <w:r w:rsidRPr="004F665F">
          <w:rPr>
            <w:rStyle w:val="Collegamentoipertestuale"/>
            <w:b/>
            <w:bCs/>
            <w:i/>
            <w:iCs/>
            <w:color w:val="auto"/>
            <w:sz w:val="24"/>
            <w:szCs w:val="24"/>
            <w:u w:val="none"/>
          </w:rPr>
          <w:t>condannato</w:t>
        </w:r>
      </w:hyperlink>
      <w:r w:rsidRPr="004F665F">
        <w:rPr>
          <w:b/>
          <w:bCs/>
          <w:i/>
          <w:iCs/>
          <w:sz w:val="24"/>
          <w:szCs w:val="24"/>
        </w:rPr>
        <w:t xml:space="preserve"> con sentenza o decreto penale divenuti </w:t>
      </w:r>
      <w:hyperlink r:id="rId10" w:history="1">
        <w:r w:rsidRPr="004F665F">
          <w:rPr>
            <w:rStyle w:val="Collegamentoipertestuale"/>
            <w:b/>
            <w:bCs/>
            <w:i/>
            <w:iCs/>
            <w:color w:val="auto"/>
            <w:sz w:val="24"/>
            <w:szCs w:val="24"/>
            <w:u w:val="none"/>
          </w:rPr>
          <w:t>irrevocabili</w:t>
        </w:r>
      </w:hyperlink>
      <w:r w:rsidRPr="004F665F">
        <w:rPr>
          <w:b/>
          <w:bCs/>
          <w:i/>
          <w:iCs/>
          <w:sz w:val="24"/>
          <w:szCs w:val="24"/>
        </w:rPr>
        <w:t xml:space="preserve"> non può essere di nuovo sottoposto a procedimento penale per il </w:t>
      </w:r>
      <w:hyperlink r:id="rId11" w:history="1">
        <w:r w:rsidRPr="004F665F">
          <w:rPr>
            <w:rStyle w:val="Collegamentoipertestuale"/>
            <w:b/>
            <w:bCs/>
            <w:i/>
            <w:iCs/>
            <w:color w:val="auto"/>
            <w:sz w:val="24"/>
            <w:szCs w:val="24"/>
            <w:u w:val="none"/>
          </w:rPr>
          <w:t>medesimo fatto</w:t>
        </w:r>
      </w:hyperlink>
      <w:r w:rsidRPr="004F665F">
        <w:rPr>
          <w:b/>
          <w:bCs/>
          <w:i/>
          <w:iCs/>
          <w:sz w:val="24"/>
          <w:szCs w:val="24"/>
        </w:rPr>
        <w:t xml:space="preserve">, neppure se questo viene diversamente considerato per il titolo, per il grado o per le </w:t>
      </w:r>
      <w:hyperlink r:id="rId12" w:history="1">
        <w:r w:rsidRPr="004F665F">
          <w:rPr>
            <w:rStyle w:val="Collegamentoipertestuale"/>
            <w:b/>
            <w:bCs/>
            <w:i/>
            <w:iCs/>
            <w:color w:val="auto"/>
            <w:sz w:val="24"/>
            <w:szCs w:val="24"/>
            <w:u w:val="none"/>
          </w:rPr>
          <w:t>circostanze</w:t>
        </w:r>
      </w:hyperlink>
      <w:r w:rsidRPr="004F665F">
        <w:rPr>
          <w:b/>
          <w:bCs/>
          <w:i/>
          <w:iCs/>
          <w:sz w:val="24"/>
          <w:szCs w:val="24"/>
        </w:rPr>
        <w:t xml:space="preserve">, salvo quanto disposto dagli </w:t>
      </w:r>
      <w:hyperlink r:id="rId13" w:history="1">
        <w:r w:rsidRPr="004F665F">
          <w:rPr>
            <w:rStyle w:val="Collegamentoipertestuale"/>
            <w:b/>
            <w:bCs/>
            <w:i/>
            <w:iCs/>
            <w:color w:val="auto"/>
            <w:sz w:val="24"/>
            <w:szCs w:val="24"/>
            <w:u w:val="none"/>
          </w:rPr>
          <w:t>articoli 69, comma 2, e 345</w:t>
        </w:r>
      </w:hyperlink>
      <w:r w:rsidRPr="004F665F">
        <w:rPr>
          <w:i/>
          <w:iCs/>
          <w:sz w:val="24"/>
          <w:szCs w:val="24"/>
        </w:rPr>
        <w:t>.”</w:t>
      </w:r>
      <w:r>
        <w:rPr>
          <w:i/>
          <w:iCs/>
          <w:sz w:val="24"/>
          <w:szCs w:val="24"/>
        </w:rPr>
        <w:t>;</w:t>
      </w:r>
    </w:p>
    <w:p w14:paraId="344007C2" w14:textId="77777777" w:rsidR="004F665F" w:rsidRPr="004F665F" w:rsidRDefault="004F665F" w:rsidP="004F665F">
      <w:pPr>
        <w:pStyle w:val="Paragrafoelenco"/>
        <w:spacing w:line="240" w:lineRule="auto"/>
        <w:ind w:right="849"/>
        <w:jc w:val="both"/>
        <w:rPr>
          <w:i/>
          <w:iCs/>
          <w:sz w:val="24"/>
          <w:szCs w:val="24"/>
        </w:rPr>
      </w:pPr>
    </w:p>
    <w:p w14:paraId="2AAB4CEF" w14:textId="67CF4794" w:rsidR="004F665F" w:rsidRDefault="004F665F" w:rsidP="004F665F">
      <w:pPr>
        <w:pStyle w:val="Paragrafoelenco"/>
        <w:numPr>
          <w:ilvl w:val="0"/>
          <w:numId w:val="19"/>
        </w:numPr>
        <w:spacing w:line="360" w:lineRule="auto"/>
        <w:jc w:val="both"/>
        <w:rPr>
          <w:sz w:val="24"/>
          <w:szCs w:val="24"/>
        </w:rPr>
      </w:pPr>
      <w:r w:rsidRPr="004F665F">
        <w:rPr>
          <w:b/>
          <w:bCs/>
          <w:sz w:val="24"/>
          <w:szCs w:val="24"/>
        </w:rPr>
        <w:t xml:space="preserve">dall’art. </w:t>
      </w:r>
      <w:r>
        <w:rPr>
          <w:b/>
          <w:bCs/>
          <w:sz w:val="24"/>
          <w:szCs w:val="24"/>
        </w:rPr>
        <w:t xml:space="preserve">606, primo comma, lettere b), c) ed e), c.p.p., </w:t>
      </w:r>
      <w:r w:rsidRPr="004F665F">
        <w:rPr>
          <w:sz w:val="24"/>
          <w:szCs w:val="24"/>
        </w:rPr>
        <w:t>che testualmente dispo</w:t>
      </w:r>
      <w:r w:rsidR="005F46CC">
        <w:rPr>
          <w:sz w:val="24"/>
          <w:szCs w:val="24"/>
        </w:rPr>
        <w:t>ne</w:t>
      </w:r>
      <w:r w:rsidRPr="004F665F">
        <w:rPr>
          <w:sz w:val="24"/>
          <w:szCs w:val="24"/>
        </w:rPr>
        <w:t>:</w:t>
      </w:r>
    </w:p>
    <w:p w14:paraId="0E48E908" w14:textId="6D22EBC2" w:rsidR="004F665F" w:rsidRPr="004F665F" w:rsidRDefault="004F665F" w:rsidP="004F665F">
      <w:pPr>
        <w:pStyle w:val="Paragrafoelenco"/>
        <w:spacing w:line="240" w:lineRule="auto"/>
        <w:jc w:val="both"/>
        <w:rPr>
          <w:i/>
          <w:iCs/>
          <w:sz w:val="24"/>
          <w:szCs w:val="24"/>
        </w:rPr>
      </w:pPr>
      <w:r>
        <w:rPr>
          <w:i/>
          <w:iCs/>
          <w:sz w:val="24"/>
          <w:szCs w:val="24"/>
        </w:rPr>
        <w:t>“</w:t>
      </w:r>
      <w:r w:rsidRPr="004F665F">
        <w:rPr>
          <w:b/>
          <w:bCs/>
          <w:i/>
          <w:iCs/>
          <w:sz w:val="24"/>
          <w:szCs w:val="24"/>
        </w:rPr>
        <w:t>1</w:t>
      </w:r>
      <w:r w:rsidRPr="004F665F">
        <w:rPr>
          <w:i/>
          <w:iCs/>
          <w:sz w:val="24"/>
          <w:szCs w:val="24"/>
        </w:rPr>
        <w:t>. Il ricorso per cassazione può essere proposto per i seguenti motivi:</w:t>
      </w:r>
    </w:p>
    <w:p w14:paraId="61A9DF1C" w14:textId="0D0C8200" w:rsidR="004F665F" w:rsidRPr="004F665F" w:rsidRDefault="004F665F" w:rsidP="004F665F">
      <w:pPr>
        <w:pStyle w:val="Paragrafoelenco"/>
        <w:spacing w:line="240" w:lineRule="auto"/>
        <w:jc w:val="both"/>
        <w:rPr>
          <w:i/>
          <w:iCs/>
          <w:sz w:val="24"/>
          <w:szCs w:val="24"/>
        </w:rPr>
      </w:pPr>
      <w:r w:rsidRPr="004F665F">
        <w:rPr>
          <w:i/>
          <w:iCs/>
          <w:sz w:val="24"/>
          <w:szCs w:val="24"/>
        </w:rPr>
        <w:t>a) esercizio da parte del giudice di una potestà riservata dalla legge a organi legislativi o amministrativi ovvero non consentita ai pubblici poteri;</w:t>
      </w:r>
    </w:p>
    <w:p w14:paraId="71295656" w14:textId="5E86C650" w:rsidR="004F665F" w:rsidRPr="004F665F" w:rsidRDefault="004F665F" w:rsidP="004F665F">
      <w:pPr>
        <w:pStyle w:val="Paragrafoelenco"/>
        <w:spacing w:line="240" w:lineRule="auto"/>
        <w:jc w:val="both"/>
        <w:rPr>
          <w:b/>
          <w:bCs/>
          <w:i/>
          <w:iCs/>
          <w:sz w:val="24"/>
          <w:szCs w:val="24"/>
        </w:rPr>
      </w:pPr>
      <w:r w:rsidRPr="004F665F">
        <w:rPr>
          <w:b/>
          <w:bCs/>
          <w:i/>
          <w:iCs/>
          <w:sz w:val="24"/>
          <w:szCs w:val="24"/>
        </w:rPr>
        <w:t>b) inosservanza o erronea applicazione della legge penale o di altre norme giuridiche, di cui si deve tener conto nell'applicazione della legge penale;</w:t>
      </w:r>
    </w:p>
    <w:p w14:paraId="520D50E3" w14:textId="293D4DFB" w:rsidR="004F665F" w:rsidRPr="004F665F" w:rsidRDefault="004F665F" w:rsidP="004F665F">
      <w:pPr>
        <w:pStyle w:val="Paragrafoelenco"/>
        <w:spacing w:line="240" w:lineRule="auto"/>
        <w:jc w:val="both"/>
        <w:rPr>
          <w:b/>
          <w:bCs/>
          <w:i/>
          <w:iCs/>
          <w:sz w:val="24"/>
          <w:szCs w:val="24"/>
        </w:rPr>
      </w:pPr>
      <w:r w:rsidRPr="004F665F">
        <w:rPr>
          <w:b/>
          <w:bCs/>
          <w:i/>
          <w:iCs/>
          <w:sz w:val="24"/>
          <w:szCs w:val="24"/>
        </w:rPr>
        <w:t>c) inosservanza delle norme processuali stabilite a pena di nullità, di inutilizzabilità, di inammissibilità o di decadenza;</w:t>
      </w:r>
    </w:p>
    <w:p w14:paraId="642BEEC0" w14:textId="571A678C" w:rsidR="004F665F" w:rsidRPr="004F665F" w:rsidRDefault="004F665F" w:rsidP="004F665F">
      <w:pPr>
        <w:pStyle w:val="Paragrafoelenco"/>
        <w:spacing w:line="240" w:lineRule="auto"/>
        <w:jc w:val="both"/>
        <w:rPr>
          <w:i/>
          <w:iCs/>
          <w:sz w:val="24"/>
          <w:szCs w:val="24"/>
        </w:rPr>
      </w:pPr>
      <w:r w:rsidRPr="004F665F">
        <w:rPr>
          <w:i/>
          <w:iCs/>
          <w:sz w:val="24"/>
          <w:szCs w:val="24"/>
        </w:rPr>
        <w:t xml:space="preserve">d) mancata assunzione di una prova decisiva, quando la parte ne ha fatto richiesta anche nel corso dell'istruzione dibattimentale limitatamente ai casi previsti dall'articolo 495, comma 2; </w:t>
      </w:r>
    </w:p>
    <w:p w14:paraId="01EB7799" w14:textId="2B0B7C2D" w:rsidR="005C7AE7" w:rsidRDefault="004F665F" w:rsidP="004F665F">
      <w:pPr>
        <w:pStyle w:val="Paragrafoelenco"/>
        <w:spacing w:line="240" w:lineRule="auto"/>
        <w:jc w:val="both"/>
        <w:rPr>
          <w:b/>
          <w:bCs/>
          <w:i/>
          <w:iCs/>
          <w:sz w:val="24"/>
          <w:szCs w:val="24"/>
        </w:rPr>
      </w:pPr>
      <w:r w:rsidRPr="004F665F">
        <w:rPr>
          <w:b/>
          <w:bCs/>
          <w:i/>
          <w:iCs/>
          <w:sz w:val="24"/>
          <w:szCs w:val="24"/>
        </w:rPr>
        <w:t>e) mancanza, contraddittorietà o manifesta illogicità della motivazione, quando il vizio risulta dal testo del provvedimento impugnato ovvero da altri atti del processo specificamente indicati nei motivi di gravame.”</w:t>
      </w:r>
      <w:r w:rsidR="006A7F44">
        <w:rPr>
          <w:b/>
          <w:bCs/>
          <w:i/>
          <w:iCs/>
          <w:sz w:val="24"/>
          <w:szCs w:val="24"/>
        </w:rPr>
        <w:t xml:space="preserve"> (Corte di Cassazione, Sezione Terza Penale, sentenza n. 4439 del 04.02.2021).</w:t>
      </w:r>
    </w:p>
    <w:p w14:paraId="6A7338E8" w14:textId="77777777" w:rsidR="00E54B39" w:rsidRDefault="00E54B39" w:rsidP="004F665F">
      <w:pPr>
        <w:pStyle w:val="Paragrafoelenco"/>
        <w:spacing w:line="240" w:lineRule="auto"/>
        <w:jc w:val="both"/>
        <w:rPr>
          <w:b/>
          <w:bCs/>
          <w:i/>
          <w:iCs/>
          <w:sz w:val="24"/>
          <w:szCs w:val="24"/>
        </w:rPr>
      </w:pPr>
    </w:p>
    <w:p w14:paraId="7F3294C9" w14:textId="77777777" w:rsidR="00E54B39" w:rsidRDefault="00E54B39" w:rsidP="004F665F">
      <w:pPr>
        <w:pStyle w:val="Paragrafoelenco"/>
        <w:spacing w:line="240" w:lineRule="auto"/>
        <w:jc w:val="both"/>
        <w:rPr>
          <w:b/>
          <w:bCs/>
          <w:i/>
          <w:iCs/>
          <w:sz w:val="24"/>
          <w:szCs w:val="24"/>
        </w:rPr>
      </w:pPr>
    </w:p>
    <w:p w14:paraId="2349E98D" w14:textId="77777777" w:rsidR="00E54B39" w:rsidRDefault="00E54B39" w:rsidP="004F665F">
      <w:pPr>
        <w:pStyle w:val="Paragrafoelenco"/>
        <w:spacing w:line="240" w:lineRule="auto"/>
        <w:jc w:val="both"/>
        <w:rPr>
          <w:b/>
          <w:bCs/>
          <w:i/>
          <w:iCs/>
          <w:sz w:val="24"/>
          <w:szCs w:val="24"/>
        </w:rPr>
      </w:pPr>
    </w:p>
    <w:p w14:paraId="68D532AD" w14:textId="77777777" w:rsidR="00E54B39" w:rsidRDefault="00E54B39" w:rsidP="004F665F">
      <w:pPr>
        <w:pStyle w:val="Paragrafoelenco"/>
        <w:spacing w:line="240" w:lineRule="auto"/>
        <w:jc w:val="both"/>
        <w:rPr>
          <w:b/>
          <w:bCs/>
          <w:i/>
          <w:iCs/>
          <w:sz w:val="24"/>
          <w:szCs w:val="24"/>
        </w:rPr>
      </w:pPr>
    </w:p>
    <w:p w14:paraId="5CE0D931" w14:textId="77777777" w:rsidR="00E54B39" w:rsidRDefault="00E54B39" w:rsidP="004F665F">
      <w:pPr>
        <w:pStyle w:val="Paragrafoelenco"/>
        <w:spacing w:line="240" w:lineRule="auto"/>
        <w:jc w:val="both"/>
        <w:rPr>
          <w:b/>
          <w:bCs/>
          <w:i/>
          <w:iCs/>
          <w:sz w:val="24"/>
          <w:szCs w:val="24"/>
        </w:rPr>
      </w:pPr>
    </w:p>
    <w:p w14:paraId="6432BBA3" w14:textId="77777777" w:rsidR="00E54B39" w:rsidRDefault="00E54B39" w:rsidP="004F665F">
      <w:pPr>
        <w:pStyle w:val="Paragrafoelenco"/>
        <w:spacing w:line="240" w:lineRule="auto"/>
        <w:jc w:val="both"/>
        <w:rPr>
          <w:b/>
          <w:bCs/>
          <w:i/>
          <w:iCs/>
          <w:sz w:val="24"/>
          <w:szCs w:val="24"/>
        </w:rPr>
      </w:pPr>
    </w:p>
    <w:p w14:paraId="0F27506F" w14:textId="77777777" w:rsidR="00E54B39" w:rsidRDefault="00E54B39" w:rsidP="004F665F">
      <w:pPr>
        <w:pStyle w:val="Paragrafoelenco"/>
        <w:spacing w:line="240" w:lineRule="auto"/>
        <w:jc w:val="both"/>
        <w:rPr>
          <w:b/>
          <w:bCs/>
          <w:i/>
          <w:iCs/>
          <w:sz w:val="24"/>
          <w:szCs w:val="24"/>
        </w:rPr>
      </w:pPr>
    </w:p>
    <w:p w14:paraId="7FB24D2D" w14:textId="77777777" w:rsidR="00E54B39" w:rsidRDefault="00E54B39" w:rsidP="004F665F">
      <w:pPr>
        <w:pStyle w:val="Paragrafoelenco"/>
        <w:spacing w:line="240" w:lineRule="auto"/>
        <w:jc w:val="both"/>
        <w:rPr>
          <w:b/>
          <w:bCs/>
          <w:i/>
          <w:iCs/>
          <w:sz w:val="24"/>
          <w:szCs w:val="24"/>
        </w:rPr>
      </w:pPr>
    </w:p>
    <w:p w14:paraId="2775F7A4" w14:textId="77777777" w:rsidR="00E54B39" w:rsidRDefault="00E54B39" w:rsidP="004F665F">
      <w:pPr>
        <w:pStyle w:val="Paragrafoelenco"/>
        <w:spacing w:line="240" w:lineRule="auto"/>
        <w:jc w:val="both"/>
        <w:rPr>
          <w:b/>
          <w:bCs/>
          <w:i/>
          <w:iCs/>
          <w:sz w:val="24"/>
          <w:szCs w:val="24"/>
        </w:rPr>
      </w:pPr>
    </w:p>
    <w:p w14:paraId="53775A05" w14:textId="77777777" w:rsidR="00E54B39" w:rsidRDefault="00E54B39" w:rsidP="004F665F">
      <w:pPr>
        <w:pStyle w:val="Paragrafoelenco"/>
        <w:spacing w:line="240" w:lineRule="auto"/>
        <w:jc w:val="both"/>
        <w:rPr>
          <w:b/>
          <w:bCs/>
          <w:i/>
          <w:iCs/>
          <w:sz w:val="24"/>
          <w:szCs w:val="24"/>
        </w:rPr>
      </w:pPr>
    </w:p>
    <w:p w14:paraId="5511AF56" w14:textId="77777777" w:rsidR="00E54B39" w:rsidRDefault="00E54B39" w:rsidP="004F665F">
      <w:pPr>
        <w:pStyle w:val="Paragrafoelenco"/>
        <w:spacing w:line="240" w:lineRule="auto"/>
        <w:jc w:val="both"/>
        <w:rPr>
          <w:b/>
          <w:bCs/>
          <w:i/>
          <w:iCs/>
          <w:sz w:val="24"/>
          <w:szCs w:val="24"/>
        </w:rPr>
      </w:pPr>
    </w:p>
    <w:p w14:paraId="2A767C94" w14:textId="40B32D6D" w:rsidR="00E54B39" w:rsidRDefault="00E54B39" w:rsidP="004F665F">
      <w:pPr>
        <w:pStyle w:val="Paragrafoelenco"/>
        <w:spacing w:line="240" w:lineRule="auto"/>
        <w:jc w:val="both"/>
        <w:rPr>
          <w:b/>
          <w:bCs/>
          <w:i/>
          <w:iCs/>
          <w:sz w:val="24"/>
          <w:szCs w:val="24"/>
        </w:rPr>
      </w:pPr>
    </w:p>
    <w:p w14:paraId="34E2781A" w14:textId="6F265E8D" w:rsidR="00703A61" w:rsidRDefault="00703A61" w:rsidP="004F665F">
      <w:pPr>
        <w:pStyle w:val="Paragrafoelenco"/>
        <w:spacing w:line="240" w:lineRule="auto"/>
        <w:jc w:val="both"/>
        <w:rPr>
          <w:b/>
          <w:bCs/>
          <w:i/>
          <w:iCs/>
          <w:sz w:val="24"/>
          <w:szCs w:val="24"/>
        </w:rPr>
      </w:pPr>
    </w:p>
    <w:p w14:paraId="2E0630A6" w14:textId="3E8519A9" w:rsidR="00703A61" w:rsidRDefault="00703A61" w:rsidP="004F665F">
      <w:pPr>
        <w:pStyle w:val="Paragrafoelenco"/>
        <w:spacing w:line="240" w:lineRule="auto"/>
        <w:jc w:val="both"/>
        <w:rPr>
          <w:b/>
          <w:bCs/>
          <w:i/>
          <w:iCs/>
          <w:sz w:val="24"/>
          <w:szCs w:val="24"/>
        </w:rPr>
      </w:pPr>
    </w:p>
    <w:p w14:paraId="13363B91" w14:textId="2297F4FB" w:rsidR="00703A61" w:rsidRDefault="00703A61" w:rsidP="004F665F">
      <w:pPr>
        <w:pStyle w:val="Paragrafoelenco"/>
        <w:spacing w:line="240" w:lineRule="auto"/>
        <w:jc w:val="both"/>
        <w:rPr>
          <w:b/>
          <w:bCs/>
          <w:i/>
          <w:iCs/>
          <w:sz w:val="24"/>
          <w:szCs w:val="24"/>
        </w:rPr>
      </w:pPr>
    </w:p>
    <w:p w14:paraId="3A9E09B7" w14:textId="5BE784B9" w:rsidR="00703A61" w:rsidRDefault="00703A61" w:rsidP="004F665F">
      <w:pPr>
        <w:pStyle w:val="Paragrafoelenco"/>
        <w:spacing w:line="240" w:lineRule="auto"/>
        <w:jc w:val="both"/>
        <w:rPr>
          <w:b/>
          <w:bCs/>
          <w:i/>
          <w:iCs/>
          <w:sz w:val="24"/>
          <w:szCs w:val="24"/>
        </w:rPr>
      </w:pPr>
    </w:p>
    <w:p w14:paraId="5BDBA5D7" w14:textId="147613E2" w:rsidR="00703A61" w:rsidRDefault="00703A61" w:rsidP="004F665F">
      <w:pPr>
        <w:pStyle w:val="Paragrafoelenco"/>
        <w:spacing w:line="240" w:lineRule="auto"/>
        <w:jc w:val="both"/>
        <w:rPr>
          <w:b/>
          <w:bCs/>
          <w:i/>
          <w:iCs/>
          <w:sz w:val="24"/>
          <w:szCs w:val="24"/>
        </w:rPr>
      </w:pPr>
    </w:p>
    <w:p w14:paraId="10E5725D" w14:textId="4D61022C" w:rsidR="00703A61" w:rsidRDefault="00703A61" w:rsidP="004F665F">
      <w:pPr>
        <w:pStyle w:val="Paragrafoelenco"/>
        <w:spacing w:line="240" w:lineRule="auto"/>
        <w:jc w:val="both"/>
        <w:rPr>
          <w:b/>
          <w:bCs/>
          <w:i/>
          <w:iCs/>
          <w:sz w:val="24"/>
          <w:szCs w:val="24"/>
        </w:rPr>
      </w:pPr>
    </w:p>
    <w:p w14:paraId="1D9D2828" w14:textId="311A35AA" w:rsidR="00703A61" w:rsidRDefault="00703A61" w:rsidP="004F665F">
      <w:pPr>
        <w:pStyle w:val="Paragrafoelenco"/>
        <w:spacing w:line="240" w:lineRule="auto"/>
        <w:jc w:val="both"/>
        <w:rPr>
          <w:b/>
          <w:bCs/>
          <w:i/>
          <w:iCs/>
          <w:sz w:val="24"/>
          <w:szCs w:val="24"/>
        </w:rPr>
      </w:pPr>
    </w:p>
    <w:p w14:paraId="558977E6" w14:textId="15C994CA" w:rsidR="00703A61" w:rsidRDefault="00703A61" w:rsidP="004F665F">
      <w:pPr>
        <w:pStyle w:val="Paragrafoelenco"/>
        <w:spacing w:line="240" w:lineRule="auto"/>
        <w:jc w:val="both"/>
        <w:rPr>
          <w:b/>
          <w:bCs/>
          <w:i/>
          <w:iCs/>
          <w:sz w:val="24"/>
          <w:szCs w:val="24"/>
        </w:rPr>
      </w:pPr>
    </w:p>
    <w:p w14:paraId="715DC1E0" w14:textId="34E3ACEE" w:rsidR="00703A61" w:rsidRDefault="00703A61" w:rsidP="004F665F">
      <w:pPr>
        <w:pStyle w:val="Paragrafoelenco"/>
        <w:spacing w:line="240" w:lineRule="auto"/>
        <w:jc w:val="both"/>
        <w:rPr>
          <w:b/>
          <w:bCs/>
          <w:i/>
          <w:iCs/>
          <w:sz w:val="24"/>
          <w:szCs w:val="24"/>
        </w:rPr>
      </w:pPr>
    </w:p>
    <w:p w14:paraId="1D6DF85C" w14:textId="1EDDA95B" w:rsidR="00703A61" w:rsidRDefault="00703A61" w:rsidP="004F665F">
      <w:pPr>
        <w:pStyle w:val="Paragrafoelenco"/>
        <w:spacing w:line="240" w:lineRule="auto"/>
        <w:jc w:val="both"/>
        <w:rPr>
          <w:b/>
          <w:bCs/>
          <w:i/>
          <w:iCs/>
          <w:sz w:val="24"/>
          <w:szCs w:val="24"/>
        </w:rPr>
      </w:pPr>
    </w:p>
    <w:p w14:paraId="38B6C9EC" w14:textId="576D2F9C" w:rsidR="00703A61" w:rsidRDefault="00703A61" w:rsidP="004F665F">
      <w:pPr>
        <w:pStyle w:val="Paragrafoelenco"/>
        <w:spacing w:line="240" w:lineRule="auto"/>
        <w:jc w:val="both"/>
        <w:rPr>
          <w:b/>
          <w:bCs/>
          <w:i/>
          <w:iCs/>
          <w:sz w:val="24"/>
          <w:szCs w:val="24"/>
        </w:rPr>
      </w:pPr>
    </w:p>
    <w:p w14:paraId="12C85B73" w14:textId="2B691435" w:rsidR="00703A61" w:rsidRDefault="00703A61" w:rsidP="004F665F">
      <w:pPr>
        <w:pStyle w:val="Paragrafoelenco"/>
        <w:spacing w:line="240" w:lineRule="auto"/>
        <w:jc w:val="both"/>
        <w:rPr>
          <w:b/>
          <w:bCs/>
          <w:i/>
          <w:iCs/>
          <w:sz w:val="24"/>
          <w:szCs w:val="24"/>
        </w:rPr>
      </w:pPr>
    </w:p>
    <w:p w14:paraId="79390F64" w14:textId="1D105CE0" w:rsidR="00703A61" w:rsidRDefault="00703A61" w:rsidP="004F665F">
      <w:pPr>
        <w:pStyle w:val="Paragrafoelenco"/>
        <w:spacing w:line="240" w:lineRule="auto"/>
        <w:jc w:val="both"/>
        <w:rPr>
          <w:b/>
          <w:bCs/>
          <w:i/>
          <w:iCs/>
          <w:sz w:val="24"/>
          <w:szCs w:val="24"/>
        </w:rPr>
      </w:pPr>
    </w:p>
    <w:p w14:paraId="17C7C66F" w14:textId="77777777" w:rsidR="00703A61" w:rsidRDefault="00703A61" w:rsidP="004F665F">
      <w:pPr>
        <w:pStyle w:val="Paragrafoelenco"/>
        <w:spacing w:line="240" w:lineRule="auto"/>
        <w:jc w:val="both"/>
        <w:rPr>
          <w:b/>
          <w:bCs/>
          <w:i/>
          <w:iCs/>
          <w:sz w:val="24"/>
          <w:szCs w:val="24"/>
        </w:rPr>
      </w:pPr>
    </w:p>
    <w:p w14:paraId="2F39EF2E" w14:textId="77777777" w:rsidR="00E54B39" w:rsidRPr="006A7F44" w:rsidRDefault="00E54B39" w:rsidP="006A7F44">
      <w:pPr>
        <w:spacing w:line="240" w:lineRule="auto"/>
        <w:jc w:val="both"/>
        <w:rPr>
          <w:b/>
          <w:bCs/>
          <w:i/>
          <w:iCs/>
          <w:sz w:val="24"/>
          <w:szCs w:val="24"/>
        </w:rPr>
      </w:pPr>
    </w:p>
    <w:p w14:paraId="750A410C" w14:textId="260CFB37" w:rsidR="00A82345" w:rsidRPr="00544B1B" w:rsidRDefault="00A82345" w:rsidP="00D44BD1">
      <w:pPr>
        <w:spacing w:line="360" w:lineRule="auto"/>
        <w:contextualSpacing/>
        <w:jc w:val="center"/>
        <w:outlineLvl w:val="0"/>
        <w:rPr>
          <w:b/>
          <w:bCs/>
          <w:sz w:val="28"/>
          <w:szCs w:val="28"/>
          <w:highlight w:val="yellow"/>
          <w:u w:val="single"/>
        </w:rPr>
      </w:pPr>
      <w:bookmarkStart w:id="1" w:name="_Toc186711250"/>
      <w:bookmarkStart w:id="2" w:name="_Toc186716994"/>
      <w:bookmarkStart w:id="3" w:name="_Toc186793150"/>
      <w:bookmarkStart w:id="4" w:name="_Toc186808347"/>
      <w:bookmarkStart w:id="5" w:name="_Toc186993198"/>
      <w:bookmarkStart w:id="6" w:name="_Toc187062364"/>
      <w:r w:rsidRPr="00544B1B">
        <w:rPr>
          <w:b/>
          <w:bCs/>
          <w:sz w:val="28"/>
          <w:szCs w:val="28"/>
          <w:highlight w:val="yellow"/>
          <w:u w:val="single"/>
        </w:rPr>
        <w:lastRenderedPageBreak/>
        <w:t>PARTE PRIMA</w:t>
      </w:r>
      <w:bookmarkEnd w:id="1"/>
      <w:bookmarkEnd w:id="2"/>
      <w:bookmarkEnd w:id="3"/>
      <w:bookmarkEnd w:id="4"/>
      <w:bookmarkEnd w:id="5"/>
      <w:bookmarkEnd w:id="6"/>
    </w:p>
    <w:p w14:paraId="2F9DF9F6" w14:textId="5B405BDB" w:rsidR="00A82345" w:rsidRPr="00A82345" w:rsidRDefault="00A82345" w:rsidP="00D44BD1">
      <w:pPr>
        <w:spacing w:line="360" w:lineRule="auto"/>
        <w:contextualSpacing/>
        <w:jc w:val="center"/>
        <w:outlineLvl w:val="0"/>
        <w:rPr>
          <w:b/>
          <w:bCs/>
          <w:sz w:val="28"/>
          <w:szCs w:val="28"/>
        </w:rPr>
      </w:pPr>
      <w:bookmarkStart w:id="7" w:name="_Toc186711251"/>
      <w:bookmarkStart w:id="8" w:name="_Toc186716995"/>
      <w:bookmarkStart w:id="9" w:name="_Toc186793151"/>
      <w:bookmarkStart w:id="10" w:name="_Toc186808348"/>
      <w:bookmarkStart w:id="11" w:name="_Toc186993199"/>
      <w:bookmarkStart w:id="12" w:name="_Toc187062365"/>
      <w:r w:rsidRPr="00544B1B">
        <w:rPr>
          <w:b/>
          <w:bCs/>
          <w:sz w:val="28"/>
          <w:szCs w:val="28"/>
          <w:highlight w:val="yellow"/>
        </w:rPr>
        <w:t>GIURISPRUDENZA</w:t>
      </w:r>
      <w:bookmarkEnd w:id="7"/>
      <w:bookmarkEnd w:id="8"/>
      <w:bookmarkEnd w:id="9"/>
      <w:bookmarkEnd w:id="10"/>
      <w:bookmarkEnd w:id="11"/>
      <w:bookmarkEnd w:id="12"/>
      <w:r w:rsidRPr="00A82345">
        <w:rPr>
          <w:b/>
          <w:bCs/>
          <w:sz w:val="28"/>
          <w:szCs w:val="28"/>
        </w:rPr>
        <w:t xml:space="preserve"> </w:t>
      </w:r>
    </w:p>
    <w:p w14:paraId="1420C981" w14:textId="307DE307" w:rsidR="007A1462" w:rsidRPr="00A82345" w:rsidRDefault="007A1462" w:rsidP="00311A45">
      <w:pPr>
        <w:spacing w:before="240" w:line="360" w:lineRule="auto"/>
        <w:ind w:right="-1"/>
        <w:contextualSpacing/>
        <w:jc w:val="both"/>
        <w:rPr>
          <w:b/>
          <w:bCs/>
          <w:sz w:val="24"/>
          <w:szCs w:val="24"/>
        </w:rPr>
      </w:pPr>
      <w:r w:rsidRPr="00A82345">
        <w:rPr>
          <w:b/>
          <w:bCs/>
          <w:sz w:val="24"/>
          <w:szCs w:val="24"/>
        </w:rPr>
        <w:t xml:space="preserve">Su questo specifico problema </w:t>
      </w:r>
      <w:r w:rsidR="0039487B" w:rsidRPr="00A82345">
        <w:rPr>
          <w:b/>
          <w:bCs/>
          <w:sz w:val="24"/>
          <w:szCs w:val="24"/>
        </w:rPr>
        <w:t>analizziamo i principi sino ad oggi stabiliti dalle varie giurisdizioni</w:t>
      </w:r>
      <w:r w:rsidR="005C7AE7">
        <w:rPr>
          <w:b/>
          <w:bCs/>
          <w:sz w:val="24"/>
          <w:szCs w:val="24"/>
        </w:rPr>
        <w:t xml:space="preserve"> </w:t>
      </w:r>
      <w:r w:rsidR="005F46CC">
        <w:rPr>
          <w:b/>
          <w:bCs/>
          <w:sz w:val="24"/>
          <w:szCs w:val="24"/>
        </w:rPr>
        <w:t>(</w:t>
      </w:r>
      <w:r w:rsidR="005C7AE7">
        <w:rPr>
          <w:b/>
          <w:bCs/>
          <w:sz w:val="24"/>
          <w:szCs w:val="24"/>
        </w:rPr>
        <w:t>europee e nazionali</w:t>
      </w:r>
      <w:r w:rsidR="005F46CC">
        <w:rPr>
          <w:b/>
          <w:bCs/>
          <w:sz w:val="24"/>
          <w:szCs w:val="24"/>
        </w:rPr>
        <w:t>)</w:t>
      </w:r>
      <w:r w:rsidR="0039487B" w:rsidRPr="00A82345">
        <w:rPr>
          <w:b/>
          <w:bCs/>
          <w:sz w:val="24"/>
          <w:szCs w:val="24"/>
        </w:rPr>
        <w:t>.</w:t>
      </w:r>
    </w:p>
    <w:p w14:paraId="0D537AD3" w14:textId="6B0B100E" w:rsidR="005B4D69" w:rsidRPr="005335D8" w:rsidRDefault="005B4D69" w:rsidP="00D44BD1">
      <w:pPr>
        <w:pStyle w:val="Paragrafoelenco"/>
        <w:numPr>
          <w:ilvl w:val="0"/>
          <w:numId w:val="5"/>
        </w:numPr>
        <w:spacing w:line="360" w:lineRule="auto"/>
        <w:ind w:left="425" w:hanging="425"/>
        <w:jc w:val="both"/>
        <w:outlineLvl w:val="1"/>
        <w:rPr>
          <w:b/>
          <w:bCs/>
          <w:sz w:val="24"/>
          <w:szCs w:val="24"/>
        </w:rPr>
      </w:pPr>
      <w:bookmarkStart w:id="13" w:name="_Toc186711252"/>
      <w:bookmarkStart w:id="14" w:name="_Toc186716996"/>
      <w:bookmarkStart w:id="15" w:name="_Toc186793152"/>
      <w:bookmarkStart w:id="16" w:name="_Toc186808349"/>
      <w:bookmarkStart w:id="17" w:name="_Toc186993200"/>
      <w:bookmarkStart w:id="18" w:name="_Toc187062366"/>
      <w:r w:rsidRPr="005335D8">
        <w:rPr>
          <w:b/>
          <w:bCs/>
          <w:sz w:val="24"/>
          <w:szCs w:val="24"/>
        </w:rPr>
        <w:t>CORTE EUROPEA DEI DIRITTI DELL’UOMO (CORTE EDU)</w:t>
      </w:r>
      <w:bookmarkEnd w:id="13"/>
      <w:bookmarkEnd w:id="14"/>
      <w:bookmarkEnd w:id="15"/>
      <w:bookmarkEnd w:id="16"/>
      <w:bookmarkEnd w:id="17"/>
      <w:bookmarkEnd w:id="18"/>
    </w:p>
    <w:p w14:paraId="141C97DD" w14:textId="529A5B25" w:rsidR="00A172EE" w:rsidRPr="005B4D69" w:rsidRDefault="0013125A" w:rsidP="00113A38">
      <w:pPr>
        <w:spacing w:line="360" w:lineRule="auto"/>
        <w:ind w:left="360" w:right="-1" w:hanging="360"/>
        <w:jc w:val="both"/>
        <w:rPr>
          <w:b/>
          <w:bCs/>
          <w:sz w:val="28"/>
          <w:szCs w:val="28"/>
        </w:rPr>
      </w:pPr>
      <w:r w:rsidRPr="005B4D69">
        <w:rPr>
          <w:b/>
          <w:bCs/>
          <w:sz w:val="24"/>
          <w:szCs w:val="24"/>
        </w:rPr>
        <w:t xml:space="preserve">La Corte Costituzionale con la sentenza n. </w:t>
      </w:r>
      <w:r w:rsidR="00CE2C7D">
        <w:rPr>
          <w:b/>
          <w:bCs/>
          <w:sz w:val="24"/>
          <w:szCs w:val="24"/>
        </w:rPr>
        <w:t>222</w:t>
      </w:r>
      <w:r w:rsidRPr="005B4D69">
        <w:rPr>
          <w:b/>
          <w:bCs/>
          <w:sz w:val="24"/>
          <w:szCs w:val="24"/>
        </w:rPr>
        <w:t xml:space="preserve"> del </w:t>
      </w:r>
      <w:r w:rsidR="00CE2C7D">
        <w:rPr>
          <w:b/>
          <w:bCs/>
          <w:sz w:val="24"/>
          <w:szCs w:val="24"/>
        </w:rPr>
        <w:t xml:space="preserve">24 ottobre 2019 </w:t>
      </w:r>
      <w:r w:rsidRPr="005B4D69">
        <w:rPr>
          <w:b/>
          <w:bCs/>
          <w:sz w:val="24"/>
          <w:szCs w:val="24"/>
        </w:rPr>
        <w:t>ha ricordato che:</w:t>
      </w:r>
    </w:p>
    <w:p w14:paraId="35FACB66" w14:textId="1FD84E31" w:rsidR="0013125A" w:rsidRDefault="0013125A" w:rsidP="00113A38">
      <w:pPr>
        <w:spacing w:line="240" w:lineRule="auto"/>
        <w:ind w:left="567" w:right="849"/>
        <w:jc w:val="both"/>
        <w:rPr>
          <w:i/>
          <w:iCs/>
          <w:sz w:val="24"/>
          <w:szCs w:val="24"/>
        </w:rPr>
      </w:pPr>
      <w:r w:rsidRPr="001D1A17">
        <w:rPr>
          <w:i/>
          <w:iCs/>
          <w:sz w:val="24"/>
          <w:szCs w:val="24"/>
        </w:rPr>
        <w:t>“</w:t>
      </w:r>
      <w:r w:rsidRPr="00026F58">
        <w:rPr>
          <w:b/>
          <w:bCs/>
          <w:i/>
          <w:iCs/>
          <w:sz w:val="24"/>
          <w:szCs w:val="24"/>
        </w:rPr>
        <w:t>nella citata sentenza A e B contro Norvegia la Grande Camera della Corte europea dei diritti dell’uomo</w:t>
      </w:r>
      <w:r w:rsidRPr="001D1A17">
        <w:rPr>
          <w:i/>
          <w:iCs/>
          <w:sz w:val="24"/>
          <w:szCs w:val="24"/>
        </w:rPr>
        <w:t xml:space="preserve"> ha ritenuto che debba essere </w:t>
      </w:r>
      <w:r w:rsidRPr="005F46CC">
        <w:rPr>
          <w:b/>
          <w:i/>
          <w:iCs/>
          <w:sz w:val="24"/>
          <w:szCs w:val="24"/>
        </w:rPr>
        <w:t>esclusa</w:t>
      </w:r>
      <w:r w:rsidRPr="001D1A17">
        <w:rPr>
          <w:i/>
          <w:iCs/>
          <w:sz w:val="24"/>
          <w:szCs w:val="24"/>
        </w:rPr>
        <w:t xml:space="preserve"> la violazione del diritto sancito dall’art. 4 Prot. n. 7 CEDU allorché tra i due procedimenti – amministrativo e penale – che sanzionano il medesimo fatto sussista un legame materiale e temporale sufficientemente stretto; legame che deve essere ravvisato, in particolare: </w:t>
      </w:r>
      <w:r w:rsidRPr="005F46CC">
        <w:rPr>
          <w:b/>
          <w:i/>
          <w:iCs/>
          <w:sz w:val="24"/>
          <w:szCs w:val="24"/>
        </w:rPr>
        <w:t>quando</w:t>
      </w:r>
      <w:r w:rsidRPr="001D1A17">
        <w:rPr>
          <w:i/>
          <w:iCs/>
          <w:sz w:val="24"/>
          <w:szCs w:val="24"/>
        </w:rPr>
        <w:t xml:space="preserve"> le due sanzioni perseguano scopi diversi e complementari, connessi ad aspetti diversi della medesima condotta; </w:t>
      </w:r>
      <w:r w:rsidRPr="005F46CC">
        <w:rPr>
          <w:b/>
          <w:i/>
          <w:iCs/>
          <w:sz w:val="24"/>
          <w:szCs w:val="24"/>
        </w:rPr>
        <w:t>quando</w:t>
      </w:r>
      <w:r w:rsidRPr="001D1A17">
        <w:rPr>
          <w:i/>
          <w:iCs/>
          <w:sz w:val="24"/>
          <w:szCs w:val="24"/>
        </w:rPr>
        <w:t xml:space="preserve"> la duplicazione dei procedimenti sia prevedibile per l’interessato; </w:t>
      </w:r>
      <w:r w:rsidRPr="005F46CC">
        <w:rPr>
          <w:b/>
          <w:i/>
          <w:iCs/>
          <w:sz w:val="24"/>
          <w:szCs w:val="24"/>
        </w:rPr>
        <w:t>quando</w:t>
      </w:r>
      <w:r w:rsidRPr="001D1A17">
        <w:rPr>
          <w:i/>
          <w:iCs/>
          <w:sz w:val="24"/>
          <w:szCs w:val="24"/>
        </w:rPr>
        <w:t xml:space="preserve"> esista una coordinazione, specie sul piano probatorio, tra i due procedimenti; e </w:t>
      </w:r>
      <w:r w:rsidRPr="005F46CC">
        <w:rPr>
          <w:b/>
          <w:i/>
          <w:iCs/>
          <w:sz w:val="24"/>
          <w:szCs w:val="24"/>
        </w:rPr>
        <w:t xml:space="preserve">quando </w:t>
      </w:r>
      <w:r w:rsidRPr="001D1A17">
        <w:rPr>
          <w:i/>
          <w:iCs/>
          <w:sz w:val="24"/>
          <w:szCs w:val="24"/>
        </w:rPr>
        <w:t>il risultato sanzionatorio complessivo, risultante dal cumulo della sanzione amministrativa e della pena, non risulti eccessivamente afflittivo per l’interessato, in rapporto alla gravità dell’illecito. Al contempo – come sottolineato ancora dalla sentenza n. 43 del 2018 – «si dovrà valutare», ai fini della verifica della possibile lesione dell’art 4 Prot. n. 7 CEDU, «se le sanzioni, pur convenzionalmente penali, appartengano o no al nocciolo duro del diritto penale, perché in caso affermativo si sarà più severi nello scrutinare la sussistenza del legame e più riluttanti a riconoscerlo in concreto».”</w:t>
      </w:r>
    </w:p>
    <w:p w14:paraId="0252F8A5" w14:textId="77777777" w:rsidR="005B4D69" w:rsidRPr="00544B1B" w:rsidRDefault="005B4D69" w:rsidP="0013125A">
      <w:pPr>
        <w:spacing w:line="240" w:lineRule="auto"/>
        <w:ind w:left="567" w:right="849"/>
        <w:jc w:val="both"/>
        <w:rPr>
          <w:i/>
          <w:iCs/>
          <w:sz w:val="24"/>
          <w:szCs w:val="24"/>
        </w:rPr>
      </w:pPr>
    </w:p>
    <w:p w14:paraId="711A538E" w14:textId="3754A39E" w:rsidR="0013125A" w:rsidRPr="005335D8" w:rsidRDefault="005B4D69" w:rsidP="00D44BD1">
      <w:pPr>
        <w:pStyle w:val="Paragrafoelenco"/>
        <w:numPr>
          <w:ilvl w:val="0"/>
          <w:numId w:val="5"/>
        </w:numPr>
        <w:spacing w:line="360" w:lineRule="auto"/>
        <w:ind w:left="425" w:hanging="425"/>
        <w:jc w:val="both"/>
        <w:outlineLvl w:val="1"/>
        <w:rPr>
          <w:b/>
          <w:bCs/>
          <w:sz w:val="24"/>
          <w:szCs w:val="24"/>
        </w:rPr>
      </w:pPr>
      <w:bookmarkStart w:id="19" w:name="_Toc186711253"/>
      <w:bookmarkStart w:id="20" w:name="_Toc186716997"/>
      <w:bookmarkStart w:id="21" w:name="_Toc186793153"/>
      <w:bookmarkStart w:id="22" w:name="_Toc186808350"/>
      <w:bookmarkStart w:id="23" w:name="_Toc186993201"/>
      <w:bookmarkStart w:id="24" w:name="_Toc187062367"/>
      <w:r w:rsidRPr="005335D8">
        <w:rPr>
          <w:b/>
          <w:bCs/>
          <w:sz w:val="24"/>
          <w:szCs w:val="24"/>
        </w:rPr>
        <w:t>CORTE DI GIUSTIZIA EUROPEA</w:t>
      </w:r>
      <w:bookmarkEnd w:id="19"/>
      <w:bookmarkEnd w:id="20"/>
      <w:bookmarkEnd w:id="21"/>
      <w:bookmarkEnd w:id="22"/>
      <w:bookmarkEnd w:id="23"/>
      <w:bookmarkEnd w:id="24"/>
      <w:r w:rsidRPr="005335D8">
        <w:rPr>
          <w:b/>
          <w:bCs/>
          <w:sz w:val="24"/>
          <w:szCs w:val="24"/>
        </w:rPr>
        <w:t xml:space="preserve"> </w:t>
      </w:r>
    </w:p>
    <w:p w14:paraId="16C27149" w14:textId="38D5BBD5" w:rsidR="00A81682" w:rsidRPr="001D1A17" w:rsidRDefault="00A81682" w:rsidP="00113A38">
      <w:pPr>
        <w:spacing w:line="360" w:lineRule="auto"/>
        <w:ind w:left="360" w:right="-1" w:hanging="360"/>
        <w:jc w:val="both"/>
        <w:rPr>
          <w:sz w:val="24"/>
          <w:szCs w:val="24"/>
        </w:rPr>
      </w:pPr>
      <w:r w:rsidRPr="005B4D69">
        <w:rPr>
          <w:b/>
          <w:bCs/>
          <w:sz w:val="24"/>
          <w:szCs w:val="24"/>
        </w:rPr>
        <w:t xml:space="preserve">La Corte Costituzionale, </w:t>
      </w:r>
      <w:r w:rsidR="00116F5C">
        <w:rPr>
          <w:b/>
          <w:bCs/>
          <w:sz w:val="24"/>
          <w:szCs w:val="24"/>
        </w:rPr>
        <w:t xml:space="preserve">sempre </w:t>
      </w:r>
      <w:r w:rsidRPr="005B4D69">
        <w:rPr>
          <w:b/>
          <w:bCs/>
          <w:sz w:val="24"/>
          <w:szCs w:val="24"/>
        </w:rPr>
        <w:t>con l</w:t>
      </w:r>
      <w:r w:rsidR="00F863B7">
        <w:rPr>
          <w:b/>
          <w:bCs/>
          <w:sz w:val="24"/>
          <w:szCs w:val="24"/>
        </w:rPr>
        <w:t>a</w:t>
      </w:r>
      <w:r w:rsidRPr="005B4D69">
        <w:rPr>
          <w:b/>
          <w:bCs/>
          <w:sz w:val="24"/>
          <w:szCs w:val="24"/>
        </w:rPr>
        <w:t xml:space="preserve"> sentenza n. 222 del 24 ottobre 2019, ha </w:t>
      </w:r>
      <w:r w:rsidR="005F46CC">
        <w:rPr>
          <w:b/>
          <w:bCs/>
          <w:sz w:val="24"/>
          <w:szCs w:val="24"/>
        </w:rPr>
        <w:t>ricordato</w:t>
      </w:r>
      <w:r w:rsidRPr="005B4D69">
        <w:rPr>
          <w:b/>
          <w:bCs/>
          <w:sz w:val="24"/>
          <w:szCs w:val="24"/>
        </w:rPr>
        <w:t xml:space="preserve"> che</w:t>
      </w:r>
      <w:r w:rsidRPr="001D1A17">
        <w:rPr>
          <w:sz w:val="24"/>
          <w:szCs w:val="24"/>
        </w:rPr>
        <w:t xml:space="preserve">: </w:t>
      </w:r>
    </w:p>
    <w:p w14:paraId="7B2969C7" w14:textId="46906D8F" w:rsidR="0013125A" w:rsidRPr="0013125A" w:rsidRDefault="0013125A" w:rsidP="00A81682">
      <w:pPr>
        <w:spacing w:line="240" w:lineRule="auto"/>
        <w:ind w:left="567" w:right="851"/>
        <w:contextualSpacing/>
        <w:jc w:val="both"/>
        <w:rPr>
          <w:i/>
          <w:iCs/>
          <w:sz w:val="24"/>
          <w:szCs w:val="24"/>
        </w:rPr>
      </w:pPr>
      <w:r w:rsidRPr="001D1A17">
        <w:rPr>
          <w:i/>
          <w:iCs/>
          <w:sz w:val="24"/>
          <w:szCs w:val="24"/>
        </w:rPr>
        <w:t>“</w:t>
      </w:r>
      <w:r w:rsidRPr="00026F58">
        <w:rPr>
          <w:b/>
          <w:bCs/>
          <w:i/>
          <w:iCs/>
          <w:sz w:val="24"/>
          <w:szCs w:val="24"/>
        </w:rPr>
        <w:t>Ad approdi in larga misura analoghi è pervenuta la Grande sezione della Corte di giustizia</w:t>
      </w:r>
      <w:r w:rsidRPr="0013125A">
        <w:rPr>
          <w:i/>
          <w:iCs/>
          <w:sz w:val="24"/>
          <w:szCs w:val="24"/>
        </w:rPr>
        <w:t xml:space="preserve">, nelle tre sentenze coeve del 20 marzo 2018 (rispettivamente in causa C-537/16, </w:t>
      </w:r>
      <w:proofErr w:type="spellStart"/>
      <w:r w:rsidRPr="0013125A">
        <w:rPr>
          <w:i/>
          <w:iCs/>
          <w:sz w:val="24"/>
          <w:szCs w:val="24"/>
        </w:rPr>
        <w:t>Garlsson</w:t>
      </w:r>
      <w:proofErr w:type="spellEnd"/>
      <w:r w:rsidRPr="0013125A">
        <w:rPr>
          <w:i/>
          <w:iCs/>
          <w:sz w:val="24"/>
          <w:szCs w:val="24"/>
        </w:rPr>
        <w:t xml:space="preserve"> Real Estate SA e altri, in cause C-596/16 e C-597/16, Di Puma e CONSOB, e in causa C-524/15, </w:t>
      </w:r>
      <w:r w:rsidRPr="005F46CC">
        <w:rPr>
          <w:b/>
          <w:i/>
          <w:iCs/>
          <w:sz w:val="24"/>
          <w:szCs w:val="24"/>
        </w:rPr>
        <w:t>Menci, quest’ultima relativa alla materia tributaria</w:t>
      </w:r>
      <w:r w:rsidRPr="0013125A">
        <w:rPr>
          <w:i/>
          <w:iCs/>
          <w:sz w:val="24"/>
          <w:szCs w:val="24"/>
        </w:rPr>
        <w:t xml:space="preserve"> e, come già rilevato, emessa proprio in seguito a rinvio pregiudiziale proposto dall’odierno giudice a quo). </w:t>
      </w:r>
      <w:r w:rsidRPr="005F46CC">
        <w:rPr>
          <w:b/>
          <w:i/>
          <w:iCs/>
          <w:sz w:val="24"/>
          <w:szCs w:val="24"/>
        </w:rPr>
        <w:t xml:space="preserve">A parere del supremo giudice dell’Unione, infatti, la violazione del ne bis in idem sancito dall’art. 50 CDFUE non si verifica a) allorché le due sanzioni perseguano scopi differenti e complementari, sempre che b) il sistema normativo garantisca una coordinazione tra i due procedimenti sì da evitare eccessivi oneri per l’interessato, e c) assicuri comunque che il complessivo risultato sanzionatorio non risulti sproporzionato rispetto alla gravità della violazione. La sostanziale coincidenza di tali criteri rispetto a quelli enunciati dalla Corte di Strasburgo è, del resto, espressamente sottolineata dalla Corte di giustizia, che richiama il principio generale, posto dall’art. 52, paragrafo 1, CDFUE, dell’equivalenza delle tutele assicurate dalla Carta rispetto a quelle approntate dalla CEDU e dei suoi protocolli </w:t>
      </w:r>
      <w:r w:rsidRPr="0013125A">
        <w:rPr>
          <w:i/>
          <w:iCs/>
          <w:sz w:val="24"/>
          <w:szCs w:val="24"/>
        </w:rPr>
        <w:t>(</w:t>
      </w:r>
      <w:r w:rsidRPr="00654F0A">
        <w:rPr>
          <w:b/>
          <w:bCs/>
          <w:i/>
          <w:iCs/>
          <w:sz w:val="24"/>
          <w:szCs w:val="24"/>
        </w:rPr>
        <w:t>sentenza Menci, paragrafi 61-62</w:t>
      </w:r>
      <w:r w:rsidRPr="0013125A">
        <w:rPr>
          <w:i/>
          <w:iCs/>
          <w:sz w:val="24"/>
          <w:szCs w:val="24"/>
        </w:rPr>
        <w:t>).</w:t>
      </w:r>
    </w:p>
    <w:p w14:paraId="7ECBED00" w14:textId="13861AE9" w:rsidR="0013125A" w:rsidRPr="0013125A" w:rsidRDefault="0013125A" w:rsidP="00A81682">
      <w:pPr>
        <w:spacing w:line="240" w:lineRule="auto"/>
        <w:ind w:left="567" w:right="851"/>
        <w:contextualSpacing/>
        <w:jc w:val="both"/>
        <w:rPr>
          <w:i/>
          <w:iCs/>
          <w:sz w:val="24"/>
          <w:szCs w:val="24"/>
        </w:rPr>
      </w:pPr>
      <w:r w:rsidRPr="0013125A">
        <w:rPr>
          <w:i/>
          <w:iCs/>
          <w:sz w:val="24"/>
          <w:szCs w:val="24"/>
        </w:rPr>
        <w:lastRenderedPageBreak/>
        <w:t xml:space="preserve">Alla luce dei criteri appena rammentati, la stessa Corte di giustizia, </w:t>
      </w:r>
      <w:r w:rsidRPr="00D33AEC">
        <w:rPr>
          <w:b/>
          <w:i/>
          <w:iCs/>
          <w:sz w:val="24"/>
          <w:szCs w:val="24"/>
        </w:rPr>
        <w:t>nella sentenza Menci</w:t>
      </w:r>
      <w:r w:rsidRPr="0013125A">
        <w:rPr>
          <w:i/>
          <w:iCs/>
          <w:sz w:val="24"/>
          <w:szCs w:val="24"/>
        </w:rPr>
        <w:t xml:space="preserve">, conclude nel senso che la disciplina italiana in materia di omesso versamento di IVA, riservando la perseguibilità in sede penale alle sole violazioni superiori a determinate soglie di imposta evasa e attribuendo tra l’altro rilevanza, in sede penale, al volontario pagamento del debito tributario e delle sanzioni amministrative, appare conformata in modo tale da «garantire» – sia pure «con riserva di verifica da parte del giudice del rinvio» – che «il cumulo di procedimenti e di sanzioni che essa autorizza non eccede quanto è strettamente necessario ai fini della realizzazione dell’obiettivo» di assicurare l’integrale riscossione dell’IVA (paragrafo 57). In tal modo, la Corte di giustizia da un lato suggerisce al giudice del procedimento principale che il complessivo regime sanzionatorio e procedimentale previsto dal legislatore italiano </w:t>
      </w:r>
      <w:r w:rsidRPr="005F46CC">
        <w:rPr>
          <w:b/>
          <w:i/>
          <w:iCs/>
          <w:sz w:val="24"/>
          <w:szCs w:val="24"/>
        </w:rPr>
        <w:t>in materia di omesso versamento di IVA non si pone in contrasto, in linea generale, con il ne bis in idem riconosciuto dalla Carta, pur facendo salva la diversa conclusione cui il giudice del rinvio dovesse pervenire in applicazione dei criteri enunciati in via generale dalla Corte; e, dall’altro, affida allo stesso giudice nazionale il compito di verificare che, nel caso concreto, «l’onere risultante concretamente per l’interessato dall’applicazione della normativa nazionale in discussione nel procedimento principale e dal cumulo dei procedimenti e delle sanzioni che la medesima autorizza non sia eccessivo rispetto alla gravità del reato commesso»</w:t>
      </w:r>
      <w:r w:rsidRPr="0013125A">
        <w:rPr>
          <w:i/>
          <w:iCs/>
          <w:sz w:val="24"/>
          <w:szCs w:val="24"/>
        </w:rPr>
        <w:t xml:space="preserve"> (</w:t>
      </w:r>
      <w:r w:rsidRPr="00654F0A">
        <w:rPr>
          <w:b/>
          <w:bCs/>
          <w:i/>
          <w:iCs/>
          <w:sz w:val="24"/>
          <w:szCs w:val="24"/>
        </w:rPr>
        <w:t>sentenza Menci, paragrafo 64</w:t>
      </w:r>
      <w:r w:rsidRPr="0013125A">
        <w:rPr>
          <w:i/>
          <w:iCs/>
          <w:sz w:val="24"/>
          <w:szCs w:val="24"/>
        </w:rPr>
        <w:t>).</w:t>
      </w:r>
      <w:r w:rsidRPr="001D1A17">
        <w:rPr>
          <w:i/>
          <w:iCs/>
          <w:sz w:val="24"/>
          <w:szCs w:val="24"/>
        </w:rPr>
        <w:t>”</w:t>
      </w:r>
    </w:p>
    <w:p w14:paraId="4887179D" w14:textId="77777777" w:rsidR="0013125A" w:rsidRPr="00544B1B" w:rsidRDefault="0013125A" w:rsidP="0013125A">
      <w:pPr>
        <w:spacing w:line="360" w:lineRule="auto"/>
        <w:ind w:right="-1"/>
        <w:jc w:val="both"/>
        <w:rPr>
          <w:b/>
          <w:bCs/>
          <w:sz w:val="24"/>
          <w:szCs w:val="24"/>
        </w:rPr>
      </w:pPr>
    </w:p>
    <w:p w14:paraId="6A012B27" w14:textId="08380823" w:rsidR="00311A45" w:rsidRPr="005335D8" w:rsidRDefault="005B4D69" w:rsidP="00D44BD1">
      <w:pPr>
        <w:pStyle w:val="Paragrafoelenco"/>
        <w:numPr>
          <w:ilvl w:val="0"/>
          <w:numId w:val="5"/>
        </w:numPr>
        <w:spacing w:line="360" w:lineRule="auto"/>
        <w:ind w:left="425" w:hanging="425"/>
        <w:jc w:val="both"/>
        <w:outlineLvl w:val="1"/>
        <w:rPr>
          <w:b/>
          <w:bCs/>
          <w:sz w:val="24"/>
          <w:szCs w:val="24"/>
        </w:rPr>
      </w:pPr>
      <w:bookmarkStart w:id="25" w:name="_Toc186711254"/>
      <w:bookmarkStart w:id="26" w:name="_Toc186716998"/>
      <w:bookmarkStart w:id="27" w:name="_Toc186793154"/>
      <w:bookmarkStart w:id="28" w:name="_Toc186808351"/>
      <w:bookmarkStart w:id="29" w:name="_Toc186993202"/>
      <w:bookmarkStart w:id="30" w:name="_Toc187062368"/>
      <w:r w:rsidRPr="005335D8">
        <w:rPr>
          <w:b/>
          <w:bCs/>
          <w:sz w:val="24"/>
          <w:szCs w:val="24"/>
        </w:rPr>
        <w:t>CORTE COSTITUZIONALE, CON DUE DIFFERENTI INTERPRETAZIONI TRA IL SETTORE PENALE – TRIBUTARIO ED IL SETTORE DI PROTEZIONE DEL DIRITTO D’AUTORE E DI ALTRI DIRITTI CONNESSI AL SUO ESERCIZIO</w:t>
      </w:r>
      <w:bookmarkEnd w:id="25"/>
      <w:bookmarkEnd w:id="26"/>
      <w:bookmarkEnd w:id="27"/>
      <w:bookmarkEnd w:id="28"/>
      <w:bookmarkEnd w:id="29"/>
      <w:bookmarkEnd w:id="30"/>
    </w:p>
    <w:p w14:paraId="62C1EE9C" w14:textId="77777777" w:rsidR="00311A45" w:rsidRPr="00311A45" w:rsidRDefault="00311A45" w:rsidP="00311A45">
      <w:pPr>
        <w:pStyle w:val="Paragrafoelenco"/>
        <w:spacing w:after="0" w:line="240" w:lineRule="auto"/>
        <w:ind w:left="426" w:right="-1"/>
        <w:jc w:val="both"/>
        <w:rPr>
          <w:b/>
          <w:bCs/>
          <w:i/>
          <w:iCs/>
          <w:sz w:val="28"/>
          <w:szCs w:val="28"/>
        </w:rPr>
      </w:pPr>
    </w:p>
    <w:p w14:paraId="36B29C5E" w14:textId="4B41C7D6" w:rsidR="001D1A17" w:rsidRPr="00224F7F" w:rsidRDefault="001D1A17" w:rsidP="00C84044">
      <w:pPr>
        <w:pStyle w:val="Paragrafoelenco"/>
        <w:numPr>
          <w:ilvl w:val="0"/>
          <w:numId w:val="3"/>
        </w:numPr>
        <w:spacing w:line="360" w:lineRule="auto"/>
        <w:ind w:left="567" w:right="-1" w:hanging="283"/>
        <w:jc w:val="both"/>
        <w:rPr>
          <w:b/>
          <w:bCs/>
          <w:sz w:val="24"/>
          <w:szCs w:val="24"/>
        </w:rPr>
      </w:pPr>
      <w:r w:rsidRPr="00224F7F">
        <w:rPr>
          <w:b/>
          <w:bCs/>
          <w:sz w:val="24"/>
          <w:szCs w:val="24"/>
        </w:rPr>
        <w:t>La Corte Costituzionale, con la citata sentenza n. 222/2019</w:t>
      </w:r>
      <w:r w:rsidR="005F46CC">
        <w:rPr>
          <w:b/>
          <w:bCs/>
          <w:sz w:val="24"/>
          <w:szCs w:val="24"/>
        </w:rPr>
        <w:t xml:space="preserve">, </w:t>
      </w:r>
      <w:r w:rsidRPr="00224F7F">
        <w:rPr>
          <w:b/>
          <w:bCs/>
          <w:sz w:val="24"/>
          <w:szCs w:val="24"/>
        </w:rPr>
        <w:t xml:space="preserve">nel dichiarare inammissibili le questioni di legittimità costituzionale del citato art. 649 c.p.p., sollevate in riferimento agli articoli 3 e 117, primo comma, della Costituzione, ha </w:t>
      </w:r>
      <w:r w:rsidR="00026F58">
        <w:rPr>
          <w:b/>
          <w:bCs/>
          <w:sz w:val="24"/>
          <w:szCs w:val="24"/>
        </w:rPr>
        <w:t>rilevato</w:t>
      </w:r>
      <w:r w:rsidRPr="00224F7F">
        <w:rPr>
          <w:b/>
          <w:bCs/>
          <w:sz w:val="24"/>
          <w:szCs w:val="24"/>
        </w:rPr>
        <w:t xml:space="preserve"> che</w:t>
      </w:r>
      <w:r w:rsidR="00DB0363">
        <w:rPr>
          <w:b/>
          <w:bCs/>
          <w:sz w:val="24"/>
          <w:szCs w:val="24"/>
        </w:rPr>
        <w:t>, nel settore penale - tributario</w:t>
      </w:r>
      <w:r w:rsidRPr="00224F7F">
        <w:rPr>
          <w:b/>
          <w:bCs/>
          <w:sz w:val="24"/>
          <w:szCs w:val="24"/>
        </w:rPr>
        <w:t>:</w:t>
      </w:r>
    </w:p>
    <w:p w14:paraId="70B119D0" w14:textId="5D1E2371" w:rsidR="001D1A17" w:rsidRPr="001D1A17" w:rsidRDefault="001D1A17" w:rsidP="004F665F">
      <w:pPr>
        <w:spacing w:line="240" w:lineRule="auto"/>
        <w:ind w:left="567" w:right="851"/>
        <w:contextualSpacing/>
        <w:jc w:val="both"/>
        <w:rPr>
          <w:i/>
          <w:iCs/>
          <w:sz w:val="24"/>
          <w:szCs w:val="24"/>
        </w:rPr>
      </w:pPr>
      <w:r w:rsidRPr="001D1A17">
        <w:rPr>
          <w:i/>
          <w:iCs/>
          <w:sz w:val="24"/>
          <w:szCs w:val="24"/>
        </w:rPr>
        <w:t>“</w:t>
      </w:r>
      <w:r w:rsidRPr="00026F58">
        <w:rPr>
          <w:b/>
          <w:bCs/>
          <w:i/>
          <w:iCs/>
          <w:sz w:val="24"/>
          <w:szCs w:val="24"/>
        </w:rPr>
        <w:t>In tal modo, il giudice a quo trascura però di considerare che, secondo la giurisprudenza delle due Corti europee, l’eccessiva onerosità per l’interessato dei procedimenti amministrativo e penale deve essere esclusa allorché essi risultino avvinti da una stretta connessione sostanziale e temporale</w:t>
      </w:r>
      <w:r w:rsidRPr="001D1A17">
        <w:rPr>
          <w:i/>
          <w:iCs/>
          <w:sz w:val="24"/>
          <w:szCs w:val="24"/>
        </w:rPr>
        <w:t>.</w:t>
      </w:r>
    </w:p>
    <w:p w14:paraId="60D0967F" w14:textId="542239FE" w:rsidR="001D1A17" w:rsidRPr="001D1A17" w:rsidRDefault="001D1A17" w:rsidP="004F665F">
      <w:pPr>
        <w:spacing w:line="240" w:lineRule="auto"/>
        <w:ind w:left="567" w:right="851"/>
        <w:contextualSpacing/>
        <w:jc w:val="both"/>
        <w:rPr>
          <w:i/>
          <w:iCs/>
          <w:sz w:val="24"/>
          <w:szCs w:val="24"/>
        </w:rPr>
      </w:pPr>
      <w:r w:rsidRPr="001D1A17">
        <w:rPr>
          <w:i/>
          <w:iCs/>
          <w:sz w:val="24"/>
          <w:szCs w:val="24"/>
        </w:rPr>
        <w:t xml:space="preserve">In particolare, il rimettente omette di dare conto delle numerose disposizioni normative, ulteriori rispetto agli </w:t>
      </w:r>
      <w:r w:rsidRPr="00D33AEC">
        <w:rPr>
          <w:b/>
          <w:i/>
          <w:iCs/>
          <w:sz w:val="24"/>
          <w:szCs w:val="24"/>
        </w:rPr>
        <w:t>artt. 19, 20 e 21 del d.lgs. n. 74 del 2000</w:t>
      </w:r>
      <w:r w:rsidRPr="001D1A17">
        <w:rPr>
          <w:i/>
          <w:iCs/>
          <w:sz w:val="24"/>
          <w:szCs w:val="24"/>
        </w:rPr>
        <w:t xml:space="preserve">, che regolano i rapporti tra procedimento amministrativo e procedimento penale in materia tributaria. Al di là di un fugace accenno </w:t>
      </w:r>
      <w:r w:rsidRPr="00F63264">
        <w:rPr>
          <w:b/>
          <w:i/>
          <w:iCs/>
          <w:sz w:val="24"/>
          <w:szCs w:val="24"/>
        </w:rPr>
        <w:t>all’art. 13, comma 1, del d.lgs. n. 74 del 2000</w:t>
      </w:r>
      <w:r w:rsidRPr="001D1A17">
        <w:rPr>
          <w:i/>
          <w:iCs/>
          <w:sz w:val="24"/>
          <w:szCs w:val="24"/>
        </w:rPr>
        <w:t xml:space="preserve">, relativo alla causa di non punibilità costituita dalla volontaria estinzione del debito tributario e della sanzione amministrativa – nella specie non applicabile per mancato integrale pagamento di dette somme da parte dell’imputato –, il rimettente trascura di descrivere gli ulteriori istituti premiali introdotti dal </w:t>
      </w:r>
      <w:r w:rsidRPr="00F63264">
        <w:rPr>
          <w:b/>
          <w:i/>
          <w:iCs/>
          <w:sz w:val="24"/>
          <w:szCs w:val="24"/>
        </w:rPr>
        <w:t>decreto legislativo 24 settembre 2015, n. 158</w:t>
      </w:r>
      <w:r w:rsidRPr="001D1A17">
        <w:rPr>
          <w:i/>
          <w:iCs/>
          <w:sz w:val="24"/>
          <w:szCs w:val="24"/>
        </w:rPr>
        <w:t xml:space="preserve"> (Revisione del sistema sanzionatorio, in attuazione dell’articolo 8, comma 1, della legge 11 marzo 2014, n. 23), quali la concessione di termine per adempiere al pagamento del residuo debito tributario rateizzato (</w:t>
      </w:r>
      <w:r w:rsidRPr="00F63264">
        <w:rPr>
          <w:b/>
          <w:i/>
          <w:iCs/>
          <w:sz w:val="24"/>
          <w:szCs w:val="24"/>
        </w:rPr>
        <w:t xml:space="preserve">art. 13, </w:t>
      </w:r>
      <w:r w:rsidRPr="00F63264">
        <w:rPr>
          <w:b/>
          <w:i/>
          <w:iCs/>
          <w:sz w:val="24"/>
          <w:szCs w:val="24"/>
        </w:rPr>
        <w:lastRenderedPageBreak/>
        <w:t>comma 3, del d.lgs. n. 74 del 2000</w:t>
      </w:r>
      <w:r w:rsidRPr="001D1A17">
        <w:rPr>
          <w:i/>
          <w:iCs/>
          <w:sz w:val="24"/>
          <w:szCs w:val="24"/>
        </w:rPr>
        <w:t>) o gli effetti dell’adempimento del debito erariale sulla confisca (</w:t>
      </w:r>
      <w:r w:rsidRPr="00F63264">
        <w:rPr>
          <w:b/>
          <w:i/>
          <w:iCs/>
          <w:sz w:val="24"/>
          <w:szCs w:val="24"/>
        </w:rPr>
        <w:t>art. 12-bis del medesimo testo normativo</w:t>
      </w:r>
      <w:r w:rsidRPr="001D1A17">
        <w:rPr>
          <w:i/>
          <w:iCs/>
          <w:sz w:val="24"/>
          <w:szCs w:val="24"/>
        </w:rPr>
        <w:t>), e di saggiarne la portata, in termini di introduzione di elementi di raccordo tra adempimento del debito tributario da un lato, e svolgimento ed esito del processo penale, dall’altro lato.</w:t>
      </w:r>
    </w:p>
    <w:p w14:paraId="2A34A48A"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Neppure il giudice a quo si confronta con le disposizioni, estranee al corpus normativo del d.lgs. n. 74 del 2000, che prevedono obblighi di comunicazione degli illeciti tributari da parte della Guardia di Finanza all’autorità giudiziaria (</w:t>
      </w:r>
      <w:r w:rsidRPr="00F63264">
        <w:rPr>
          <w:b/>
          <w:i/>
          <w:iCs/>
          <w:sz w:val="24"/>
          <w:szCs w:val="24"/>
        </w:rPr>
        <w:t>art. 331 cod. proc. pen.</w:t>
      </w:r>
      <w:r w:rsidRPr="001D1A17">
        <w:rPr>
          <w:i/>
          <w:iCs/>
          <w:sz w:val="24"/>
          <w:szCs w:val="24"/>
        </w:rPr>
        <w:t>) e, specularmente, da parte dell’autorità giudiziaria alla Guardia di Finanza (</w:t>
      </w:r>
      <w:r w:rsidRPr="00F63264">
        <w:rPr>
          <w:b/>
          <w:i/>
          <w:iCs/>
          <w:sz w:val="24"/>
          <w:szCs w:val="24"/>
        </w:rPr>
        <w:t>art. 36 del d.P.R. 29 settembre 1973, n. 600</w:t>
      </w:r>
      <w:r w:rsidRPr="001D1A17">
        <w:rPr>
          <w:i/>
          <w:iCs/>
          <w:sz w:val="24"/>
          <w:szCs w:val="24"/>
        </w:rPr>
        <w:t>, recante «Disposizioni comuni in materia di accertamento delle imposte sui redditi») e all’Agenzia delle entrate (</w:t>
      </w:r>
      <w:r w:rsidRPr="00F63264">
        <w:rPr>
          <w:b/>
          <w:i/>
          <w:iCs/>
          <w:sz w:val="24"/>
          <w:szCs w:val="24"/>
        </w:rPr>
        <w:t>art. 14, comma 4, della legge 24 dicembre 1993, n. 537</w:t>
      </w:r>
      <w:r w:rsidRPr="001D1A17">
        <w:rPr>
          <w:i/>
          <w:iCs/>
          <w:sz w:val="24"/>
          <w:szCs w:val="24"/>
        </w:rPr>
        <w:t>, recante «Interventi correttivi di finanza pubblica», come modificato dall’art. 1, comma 141, della legge 28 dicembre 2015, n. 208, recante «Disposizioni per la formazione del bilancio annuale e pluriennale dello Stato»), miranti ad assicurare una sostanziale contestualità dell’avvio dell’accertamento tributario e di quello penale.</w:t>
      </w:r>
    </w:p>
    <w:p w14:paraId="1C4694E2"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Non vengono, poi, considerate le disposizioni che consentono forme di circolazione del materiale probatorio raccolto dall’indagine penale all’accertamento tributario e viceversa (</w:t>
      </w:r>
      <w:r w:rsidRPr="00F63264">
        <w:rPr>
          <w:b/>
          <w:i/>
          <w:iCs/>
          <w:sz w:val="24"/>
          <w:szCs w:val="24"/>
        </w:rPr>
        <w:t>art. 63, comma 1, del d.P.R. 26 ottobre 1972, n. 633</w:t>
      </w:r>
      <w:r w:rsidRPr="001D1A17">
        <w:rPr>
          <w:i/>
          <w:iCs/>
          <w:sz w:val="24"/>
          <w:szCs w:val="24"/>
        </w:rPr>
        <w:t xml:space="preserve">, recante «Istituzione e disciplina dell'imposta sul valore aggiunto», e </w:t>
      </w:r>
      <w:r w:rsidRPr="00F63264">
        <w:rPr>
          <w:b/>
          <w:i/>
          <w:iCs/>
          <w:sz w:val="24"/>
          <w:szCs w:val="24"/>
        </w:rPr>
        <w:t>art. 33, comma 3, del d.P.R. n. 600 del 1973 e, specularmente, art. 220 delle Norme di attuazione, di coordinamento e transitorie del codice di procedura penale</w:t>
      </w:r>
      <w:r w:rsidRPr="001D1A17">
        <w:rPr>
          <w:i/>
          <w:iCs/>
          <w:sz w:val="24"/>
          <w:szCs w:val="24"/>
        </w:rPr>
        <w:t>).</w:t>
      </w:r>
    </w:p>
    <w:p w14:paraId="2596ED5F"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 xml:space="preserve">Nemmeno risulta richiamata la giurisprudenza relativa all’utilizzabilità del materiale istruttorio raccolto in ciascun procedimento, quale elemento di prova e fonte di convincimento da parte del giudice che istruisce l’altro procedimento (ex </w:t>
      </w:r>
      <w:proofErr w:type="spellStart"/>
      <w:r w:rsidRPr="001D1A17">
        <w:rPr>
          <w:i/>
          <w:iCs/>
          <w:sz w:val="24"/>
          <w:szCs w:val="24"/>
        </w:rPr>
        <w:t>plurimis</w:t>
      </w:r>
      <w:proofErr w:type="spellEnd"/>
      <w:r w:rsidRPr="001D1A17">
        <w:rPr>
          <w:i/>
          <w:iCs/>
          <w:sz w:val="24"/>
          <w:szCs w:val="24"/>
        </w:rPr>
        <w:t xml:space="preserve">, </w:t>
      </w:r>
      <w:r w:rsidRPr="00977D1E">
        <w:rPr>
          <w:b/>
          <w:bCs/>
          <w:i/>
          <w:iCs/>
          <w:sz w:val="24"/>
          <w:szCs w:val="24"/>
        </w:rPr>
        <w:t>Corte di cassazione, sezione quinta civile, sentenze 14 novembre 2012, n. 19859 e 20 marzo 2013, n. 6918</w:t>
      </w:r>
      <w:r w:rsidRPr="001D1A17">
        <w:rPr>
          <w:i/>
          <w:iCs/>
          <w:sz w:val="24"/>
          <w:szCs w:val="24"/>
        </w:rPr>
        <w:t xml:space="preserve">, in relazione alla possibilità che gli elementi probatori acquisiti nel procedimento penale siano posti dal giudice tributario a base del proprio convincimento; </w:t>
      </w:r>
      <w:r w:rsidRPr="00977D1E">
        <w:rPr>
          <w:b/>
          <w:bCs/>
          <w:i/>
          <w:iCs/>
          <w:sz w:val="24"/>
          <w:szCs w:val="24"/>
        </w:rPr>
        <w:t>sentenze 3 dicembre 2010, n. 24587 e 22 maggio 2015, n. 10578</w:t>
      </w:r>
      <w:r w:rsidRPr="001D1A17">
        <w:rPr>
          <w:i/>
          <w:iCs/>
          <w:sz w:val="24"/>
          <w:szCs w:val="24"/>
        </w:rPr>
        <w:t xml:space="preserve">, relative alla possibilità che la sentenza penale irrevocabile, pur non spiegando efficacia di giudicato, possa essere presa in considerazione come possibile fonte di prova dal giudice tributario; </w:t>
      </w:r>
      <w:r w:rsidRPr="00977D1E">
        <w:rPr>
          <w:b/>
          <w:bCs/>
          <w:i/>
          <w:iCs/>
          <w:sz w:val="24"/>
          <w:szCs w:val="24"/>
        </w:rPr>
        <w:t>nonché, per converso, sezione terza penale, sentenze 24 settembre 2008-21 ottobre 2008, n. 39358, 28 ottobre 2015-18 gennaio 2016, n. 1628 e 23 ottobre 2018-5 dicembre 2018, n. 54379</w:t>
      </w:r>
      <w:r w:rsidRPr="00F63264">
        <w:rPr>
          <w:b/>
          <w:i/>
          <w:iCs/>
          <w:sz w:val="24"/>
          <w:szCs w:val="24"/>
        </w:rPr>
        <w:t>, tutte relative alla possibilità che gli elementi probatori acquisiti nel processo tributario facciano ingresso nel processo penale, ex art. 234 o 238-bis cod. proc. pen., quali prove valutabili ai sensi degli artt. 187 e 192 cod. proc. pen</w:t>
      </w:r>
      <w:r w:rsidRPr="001D1A17">
        <w:rPr>
          <w:i/>
          <w:iCs/>
          <w:sz w:val="24"/>
          <w:szCs w:val="24"/>
        </w:rPr>
        <w:t>.).</w:t>
      </w:r>
    </w:p>
    <w:p w14:paraId="32403F2A" w14:textId="77777777" w:rsidR="001D1A17" w:rsidRPr="00F63264" w:rsidRDefault="001D1A17" w:rsidP="004F665F">
      <w:pPr>
        <w:spacing w:line="240" w:lineRule="auto"/>
        <w:ind w:left="567" w:right="851"/>
        <w:contextualSpacing/>
        <w:jc w:val="both"/>
        <w:rPr>
          <w:b/>
          <w:i/>
          <w:iCs/>
          <w:sz w:val="24"/>
          <w:szCs w:val="24"/>
        </w:rPr>
      </w:pPr>
      <w:r w:rsidRPr="00F63264">
        <w:rPr>
          <w:b/>
          <w:i/>
          <w:iCs/>
          <w:sz w:val="24"/>
          <w:szCs w:val="24"/>
        </w:rPr>
        <w:t>2.2.4.– Ancora, come pure giustamente eccepisce l’Avvocatura generale dello Stato, il giudice a quo omette di spiegare per quale motivo l’irrogazione di una pena detentiva – destinata con ogni verosimiglianza, peraltro, a essere condizionalmente sospesa – risulterebbe sproporzionata rispetto alla gravità del reato (consistente, nella specie, nell’omissione del versamento di 282.495,76 euro dovuti a titolo di IVA), se combinata con la sanzione amministrativa già applicata (pari in concreto al 30 per cento dell’imposta evasa), con conseguente violazione del ne bis in idem nei confronti dell’imputato.</w:t>
      </w:r>
    </w:p>
    <w:p w14:paraId="08BC9D93"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 xml:space="preserve">2.2.5.– Nessun argomento spende, infine, il giudice a quo sulla questione della riconducibilità o meno delle sanzioni penali previste in materia di evasione di IVA al “nocciolo duro” del diritto penale, rispetto al quale – </w:t>
      </w:r>
      <w:r w:rsidRPr="00726953">
        <w:rPr>
          <w:b/>
          <w:bCs/>
          <w:i/>
          <w:iCs/>
          <w:sz w:val="24"/>
          <w:szCs w:val="24"/>
        </w:rPr>
        <w:t>secondo la sentenza A e B contro Norvegia della Corte europea dei diritti dell’uomo</w:t>
      </w:r>
      <w:r w:rsidRPr="001D1A17">
        <w:rPr>
          <w:i/>
          <w:iCs/>
          <w:sz w:val="24"/>
          <w:szCs w:val="24"/>
        </w:rPr>
        <w:t xml:space="preserve"> – più rigoroso dovrebbe essere il </w:t>
      </w:r>
      <w:r w:rsidRPr="001D1A17">
        <w:rPr>
          <w:i/>
          <w:iCs/>
          <w:sz w:val="24"/>
          <w:szCs w:val="24"/>
        </w:rPr>
        <w:lastRenderedPageBreak/>
        <w:t>vaglio di compatibilità del “doppio binario” sanzionatorio con la garanzia convenzionale del ne bis in idem.</w:t>
      </w:r>
    </w:p>
    <w:p w14:paraId="1DEDF0E1"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 xml:space="preserve">2.3.– </w:t>
      </w:r>
      <w:r w:rsidRPr="00F63264">
        <w:rPr>
          <w:b/>
          <w:i/>
          <w:iCs/>
          <w:sz w:val="24"/>
          <w:szCs w:val="24"/>
        </w:rPr>
        <w:t>Le segnalate lacune determinano un’insufficiente motivazione tanto della non manifesta infondatezza della questione prospettata, quanto della sua rilevanza (</w:t>
      </w:r>
      <w:r w:rsidRPr="00F63264">
        <w:rPr>
          <w:b/>
          <w:bCs/>
          <w:i/>
          <w:iCs/>
          <w:sz w:val="24"/>
          <w:szCs w:val="24"/>
        </w:rPr>
        <w:t>in quest’ultimo senso, sentenza n. 43</w:t>
      </w:r>
      <w:r w:rsidRPr="00726953">
        <w:rPr>
          <w:b/>
          <w:bCs/>
          <w:i/>
          <w:iCs/>
          <w:sz w:val="24"/>
          <w:szCs w:val="24"/>
        </w:rPr>
        <w:t xml:space="preserve"> del 2018</w:t>
      </w:r>
      <w:r w:rsidRPr="001D1A17">
        <w:rPr>
          <w:i/>
          <w:iCs/>
          <w:sz w:val="24"/>
          <w:szCs w:val="24"/>
        </w:rPr>
        <w:t>).</w:t>
      </w:r>
    </w:p>
    <w:p w14:paraId="010F19C0" w14:textId="77777777" w:rsidR="001D1A17" w:rsidRPr="001D1A17" w:rsidRDefault="001D1A17" w:rsidP="004F665F">
      <w:pPr>
        <w:spacing w:line="240" w:lineRule="auto"/>
        <w:ind w:left="567" w:right="851"/>
        <w:contextualSpacing/>
        <w:jc w:val="both"/>
        <w:rPr>
          <w:i/>
          <w:iCs/>
          <w:sz w:val="24"/>
          <w:szCs w:val="24"/>
        </w:rPr>
      </w:pPr>
      <w:r w:rsidRPr="001D1A17">
        <w:rPr>
          <w:i/>
          <w:iCs/>
          <w:sz w:val="24"/>
          <w:szCs w:val="24"/>
        </w:rPr>
        <w:t xml:space="preserve">3.– Le censure formulate con riferimento all’art. 3 Cost. dipendono strettamente, nella rispettiva trama motivazionale, da quelle prospettate in riferimento all’art. 117, primo comma, Cost., </w:t>
      </w:r>
      <w:r w:rsidRPr="00726953">
        <w:rPr>
          <w:b/>
          <w:bCs/>
          <w:i/>
          <w:iCs/>
          <w:sz w:val="24"/>
          <w:szCs w:val="24"/>
        </w:rPr>
        <w:t>in relazione all’art. 4 Prot. n. 7 alla CEDU e all’art. 50 CDFUE</w:t>
      </w:r>
      <w:r w:rsidRPr="001D1A17">
        <w:rPr>
          <w:i/>
          <w:iCs/>
          <w:sz w:val="24"/>
          <w:szCs w:val="24"/>
        </w:rPr>
        <w:t>. Nella prospettiva del rimettente, l’art. 649 cod. proc. pen. darebbe infatti luogo a una «disparità di trattamento» nonché a un «problema di ragionevolezza intrinseca dell’ordinamento» sostanzialmente per le medesime ragioni per le quali dovrebbe ravvisarsi l’incompatibilità tra la disposizione censurata e il ne bis in idem, alla luce delle indicazioni fornite dalla sentenza Menci.</w:t>
      </w:r>
    </w:p>
    <w:p w14:paraId="77AE77A0" w14:textId="56473B2E" w:rsidR="001D1A17" w:rsidRDefault="001D1A17" w:rsidP="004F665F">
      <w:pPr>
        <w:spacing w:line="240" w:lineRule="auto"/>
        <w:ind w:left="567" w:right="851"/>
        <w:contextualSpacing/>
        <w:jc w:val="both"/>
        <w:rPr>
          <w:i/>
          <w:iCs/>
          <w:sz w:val="24"/>
          <w:szCs w:val="24"/>
        </w:rPr>
      </w:pPr>
      <w:r w:rsidRPr="001D1A17">
        <w:rPr>
          <w:i/>
          <w:iCs/>
          <w:sz w:val="24"/>
          <w:szCs w:val="24"/>
        </w:rPr>
        <w:t>La carente motivazione su tale ultima censura, poc’anzi sottolineata, non può che riverberarsi sulle censure ex art. 3 Cost., declinate come ancillari rispetto alla prima, determinandone parimenti l’inammissibilità.”</w:t>
      </w:r>
    </w:p>
    <w:p w14:paraId="6EB6D5DD" w14:textId="77777777" w:rsidR="001D1A17" w:rsidRDefault="001D1A17" w:rsidP="00224F7F">
      <w:pPr>
        <w:spacing w:line="240" w:lineRule="auto"/>
        <w:ind w:left="993" w:right="851"/>
        <w:contextualSpacing/>
        <w:jc w:val="both"/>
        <w:rPr>
          <w:i/>
          <w:iCs/>
          <w:sz w:val="24"/>
          <w:szCs w:val="24"/>
        </w:rPr>
      </w:pPr>
    </w:p>
    <w:p w14:paraId="227CA5B3" w14:textId="44E40463" w:rsidR="001D1A17" w:rsidRDefault="00224F7F" w:rsidP="0011142F">
      <w:pPr>
        <w:spacing w:line="360" w:lineRule="auto"/>
        <w:ind w:left="567" w:right="-1"/>
        <w:contextualSpacing/>
        <w:jc w:val="both"/>
        <w:rPr>
          <w:sz w:val="24"/>
          <w:szCs w:val="24"/>
        </w:rPr>
      </w:pPr>
      <w:r>
        <w:rPr>
          <w:sz w:val="24"/>
          <w:szCs w:val="24"/>
        </w:rPr>
        <w:t xml:space="preserve">Infine, occorre ricordare che analoghe questioni di incostituzionalità sono state dichiarate inammissibili dalla Corte Costituzionale con le seguenti </w:t>
      </w:r>
      <w:r w:rsidRPr="00D95714">
        <w:rPr>
          <w:b/>
          <w:bCs/>
          <w:sz w:val="24"/>
          <w:szCs w:val="24"/>
        </w:rPr>
        <w:t>ordinanze</w:t>
      </w:r>
      <w:r>
        <w:rPr>
          <w:sz w:val="24"/>
          <w:szCs w:val="24"/>
        </w:rPr>
        <w:t>:</w:t>
      </w:r>
    </w:p>
    <w:p w14:paraId="205ECA9E" w14:textId="70767BEB" w:rsidR="00224F7F" w:rsidRPr="00224F7F" w:rsidRDefault="00224F7F" w:rsidP="00D647C3">
      <w:pPr>
        <w:pStyle w:val="Paragrafoelenco"/>
        <w:numPr>
          <w:ilvl w:val="0"/>
          <w:numId w:val="2"/>
        </w:numPr>
        <w:spacing w:line="360" w:lineRule="auto"/>
        <w:ind w:left="993" w:right="-1" w:firstLine="141"/>
        <w:jc w:val="both"/>
        <w:rPr>
          <w:b/>
          <w:bCs/>
          <w:sz w:val="24"/>
          <w:szCs w:val="24"/>
        </w:rPr>
      </w:pPr>
      <w:r w:rsidRPr="00224F7F">
        <w:rPr>
          <w:b/>
          <w:bCs/>
          <w:sz w:val="24"/>
          <w:szCs w:val="24"/>
        </w:rPr>
        <w:t>n. 114 del 12 giugno 2020;</w:t>
      </w:r>
    </w:p>
    <w:p w14:paraId="0F76CEFD" w14:textId="0C7CDB7D" w:rsidR="00224F7F" w:rsidRDefault="00224F7F" w:rsidP="00D647C3">
      <w:pPr>
        <w:pStyle w:val="Paragrafoelenco"/>
        <w:numPr>
          <w:ilvl w:val="0"/>
          <w:numId w:val="2"/>
        </w:numPr>
        <w:spacing w:line="360" w:lineRule="auto"/>
        <w:ind w:left="993" w:right="-1" w:firstLine="141"/>
        <w:jc w:val="both"/>
        <w:rPr>
          <w:b/>
          <w:bCs/>
          <w:sz w:val="24"/>
          <w:szCs w:val="24"/>
        </w:rPr>
      </w:pPr>
      <w:r w:rsidRPr="00224F7F">
        <w:rPr>
          <w:b/>
          <w:bCs/>
          <w:sz w:val="24"/>
          <w:szCs w:val="24"/>
        </w:rPr>
        <w:t>n. 136 del 01 luglio 2021.</w:t>
      </w:r>
    </w:p>
    <w:p w14:paraId="77E31BB6" w14:textId="77777777" w:rsidR="00224F7F" w:rsidRDefault="00224F7F" w:rsidP="00A82345">
      <w:pPr>
        <w:pStyle w:val="Paragrafoelenco"/>
        <w:spacing w:after="0" w:line="360" w:lineRule="auto"/>
        <w:ind w:left="993" w:right="-1"/>
        <w:jc w:val="both"/>
        <w:rPr>
          <w:b/>
          <w:bCs/>
          <w:sz w:val="24"/>
          <w:szCs w:val="24"/>
        </w:rPr>
      </w:pPr>
    </w:p>
    <w:p w14:paraId="0E56C8D0" w14:textId="3DDBD3BF" w:rsidR="00224F7F" w:rsidRDefault="00224F7F" w:rsidP="00C84044">
      <w:pPr>
        <w:pStyle w:val="Paragrafoelenco"/>
        <w:numPr>
          <w:ilvl w:val="0"/>
          <w:numId w:val="3"/>
        </w:numPr>
        <w:spacing w:line="360" w:lineRule="auto"/>
        <w:ind w:left="567" w:right="-1" w:hanging="283"/>
        <w:jc w:val="both"/>
        <w:rPr>
          <w:b/>
          <w:bCs/>
          <w:sz w:val="24"/>
          <w:szCs w:val="24"/>
        </w:rPr>
      </w:pPr>
      <w:r w:rsidRPr="00981411">
        <w:rPr>
          <w:b/>
          <w:bCs/>
          <w:sz w:val="24"/>
          <w:szCs w:val="24"/>
        </w:rPr>
        <w:t xml:space="preserve">Invece, la </w:t>
      </w:r>
      <w:r w:rsidR="00201493">
        <w:rPr>
          <w:b/>
          <w:bCs/>
          <w:sz w:val="24"/>
          <w:szCs w:val="24"/>
        </w:rPr>
        <w:t xml:space="preserve">stessa </w:t>
      </w:r>
      <w:r w:rsidRPr="00981411">
        <w:rPr>
          <w:b/>
          <w:bCs/>
          <w:sz w:val="24"/>
          <w:szCs w:val="24"/>
        </w:rPr>
        <w:t>Corte Costituzionale</w:t>
      </w:r>
      <w:r w:rsidR="00621DDD">
        <w:rPr>
          <w:b/>
          <w:bCs/>
          <w:sz w:val="24"/>
          <w:szCs w:val="24"/>
        </w:rPr>
        <w:t>,</w:t>
      </w:r>
      <w:r w:rsidRPr="00981411">
        <w:rPr>
          <w:b/>
          <w:bCs/>
          <w:sz w:val="24"/>
          <w:szCs w:val="24"/>
        </w:rPr>
        <w:t xml:space="preserve"> con la sentenza n. 149 del 16 giugno 2022</w:t>
      </w:r>
      <w:r w:rsidR="00621DDD">
        <w:rPr>
          <w:b/>
          <w:bCs/>
          <w:sz w:val="24"/>
          <w:szCs w:val="24"/>
        </w:rPr>
        <w:t>,</w:t>
      </w:r>
      <w:r w:rsidRPr="00981411">
        <w:rPr>
          <w:b/>
          <w:bCs/>
          <w:sz w:val="24"/>
          <w:szCs w:val="24"/>
        </w:rPr>
        <w:t xml:space="preserve"> ha </w:t>
      </w:r>
      <w:r w:rsidR="00981411" w:rsidRPr="00981411">
        <w:rPr>
          <w:b/>
          <w:bCs/>
          <w:sz w:val="24"/>
          <w:szCs w:val="24"/>
        </w:rPr>
        <w:t>dichiarato l’illegittimità costituzionale dell’art. 6</w:t>
      </w:r>
      <w:hyperlink r:id="rId14" w:history="1">
        <w:r w:rsidR="00981411" w:rsidRPr="00981411">
          <w:rPr>
            <w:rStyle w:val="Collegamentoipertestuale"/>
            <w:b/>
            <w:bCs/>
            <w:color w:val="auto"/>
            <w:sz w:val="24"/>
            <w:szCs w:val="24"/>
            <w:u w:val="none"/>
          </w:rPr>
          <w:t>49 del codice di procedura penale, nell</w:t>
        </w:r>
      </w:hyperlink>
      <w:r w:rsidR="00981411" w:rsidRPr="00981411">
        <w:rPr>
          <w:b/>
          <w:bCs/>
          <w:sz w:val="24"/>
          <w:szCs w:val="24"/>
        </w:rPr>
        <w:t>a parte in cui non prevede che il giudice pronunci sentenza di proscioglimento o di non luogo a procedere nei confronti di un imputato per uno dei delitti previsti dall’art. 1</w:t>
      </w:r>
      <w:hyperlink r:id="rId15" w:history="1">
        <w:r w:rsidR="00981411" w:rsidRPr="00981411">
          <w:rPr>
            <w:rStyle w:val="Collegamentoipertestuale"/>
            <w:b/>
            <w:bCs/>
            <w:color w:val="auto"/>
            <w:sz w:val="24"/>
            <w:szCs w:val="24"/>
            <w:u w:val="none"/>
          </w:rPr>
          <w:t>71-ter della legge 22 aprile 1941, n. 633 (Prot</w:t>
        </w:r>
      </w:hyperlink>
      <w:r w:rsidR="00981411" w:rsidRPr="00981411">
        <w:rPr>
          <w:b/>
          <w:bCs/>
          <w:sz w:val="24"/>
          <w:szCs w:val="24"/>
        </w:rPr>
        <w:t>ezione del diritto d’autore e di altri diritti connessi al suo esercizio), che, in relazione al medesimo fatto, sia già stato sottoposto a procedimento, definitivamente conclusosi, per l’illecito amministrativo di cui all’art. 174-bis della medesima legge.</w:t>
      </w:r>
    </w:p>
    <w:p w14:paraId="06757960" w14:textId="120D8183" w:rsidR="00981411" w:rsidRDefault="00981411" w:rsidP="00981411">
      <w:pPr>
        <w:pStyle w:val="Paragrafoelenco"/>
        <w:spacing w:line="360" w:lineRule="auto"/>
        <w:ind w:right="-1"/>
        <w:jc w:val="both"/>
        <w:rPr>
          <w:sz w:val="24"/>
          <w:szCs w:val="24"/>
        </w:rPr>
      </w:pPr>
      <w:r w:rsidRPr="00981411">
        <w:rPr>
          <w:sz w:val="24"/>
          <w:szCs w:val="24"/>
        </w:rPr>
        <w:t>In</w:t>
      </w:r>
      <w:r>
        <w:rPr>
          <w:sz w:val="24"/>
          <w:szCs w:val="24"/>
        </w:rPr>
        <w:t xml:space="preserve"> particolare, la Corte Costituzionale, con la succitata sentenza ha stabilito che:</w:t>
      </w:r>
    </w:p>
    <w:p w14:paraId="0AC906A9" w14:textId="77777777" w:rsidR="00981411" w:rsidRPr="00621DDD" w:rsidRDefault="00981411" w:rsidP="004F665F">
      <w:pPr>
        <w:pStyle w:val="Paragrafoelenco"/>
        <w:spacing w:line="240" w:lineRule="auto"/>
        <w:ind w:left="567" w:right="849"/>
        <w:jc w:val="both"/>
        <w:rPr>
          <w:b/>
          <w:i/>
          <w:iCs/>
          <w:sz w:val="24"/>
          <w:szCs w:val="24"/>
        </w:rPr>
      </w:pPr>
      <w:r w:rsidRPr="00621DDD">
        <w:rPr>
          <w:b/>
          <w:i/>
          <w:iCs/>
          <w:sz w:val="24"/>
          <w:szCs w:val="24"/>
        </w:rPr>
        <w:t>“Da tutto ciò discende che il sistema di “doppio binario” in esame non è normativamente congegnato in modo da assicurare che i due procedimenti sanzionatori previsti apprestino una risposta coerente e sostanzialmente unitaria agli illeciti in materia di violazioni del diritto d’autore, già penalmente sanzionati dall’art. 1</w:t>
      </w:r>
      <w:hyperlink r:id="rId16" w:history="1">
        <w:r w:rsidRPr="00621DDD">
          <w:rPr>
            <w:rStyle w:val="Collegamentoipertestuale"/>
            <w:b/>
            <w:i/>
            <w:iCs/>
            <w:color w:val="auto"/>
            <w:sz w:val="24"/>
            <w:szCs w:val="24"/>
            <w:u w:val="none"/>
          </w:rPr>
          <w:t>71-ter della legge n. 633 del 1941. I du</w:t>
        </w:r>
      </w:hyperlink>
      <w:r w:rsidRPr="00621DDD">
        <w:rPr>
          <w:b/>
          <w:i/>
          <w:iCs/>
          <w:sz w:val="24"/>
          <w:szCs w:val="24"/>
        </w:rPr>
        <w:t>e procedimenti originano dalla medesima condotta, ma seguono poi percorsi autonomi, che non si intersecano né si coordinano reciprocamente in alcun modo, creando così inevitabilmente le condizioni per il verificarsi di violazioni sistemiche del diritto al ne bis in idem.</w:t>
      </w:r>
    </w:p>
    <w:p w14:paraId="5D11383E" w14:textId="77777777" w:rsidR="00981411" w:rsidRPr="00981411" w:rsidRDefault="00981411" w:rsidP="004F665F">
      <w:pPr>
        <w:pStyle w:val="Paragrafoelenco"/>
        <w:spacing w:line="240" w:lineRule="auto"/>
        <w:ind w:left="567" w:right="849"/>
        <w:jc w:val="both"/>
        <w:rPr>
          <w:i/>
          <w:iCs/>
          <w:sz w:val="24"/>
          <w:szCs w:val="24"/>
        </w:rPr>
      </w:pPr>
      <w:r w:rsidRPr="00981411">
        <w:rPr>
          <w:i/>
          <w:iCs/>
          <w:sz w:val="24"/>
          <w:szCs w:val="24"/>
        </w:rPr>
        <w:t>6.– A tali violazioni è possibile porre almeno parzialmente rimedio attraverso l’intervento sull’art. 6</w:t>
      </w:r>
      <w:hyperlink r:id="rId17" w:history="1">
        <w:r w:rsidRPr="00981411">
          <w:rPr>
            <w:rStyle w:val="Collegamentoipertestuale"/>
            <w:i/>
            <w:iCs/>
            <w:color w:val="auto"/>
            <w:sz w:val="24"/>
            <w:szCs w:val="24"/>
            <w:u w:val="none"/>
          </w:rPr>
          <w:t>49 cod. proc. pen. auspi</w:t>
        </w:r>
      </w:hyperlink>
      <w:r w:rsidRPr="00981411">
        <w:rPr>
          <w:i/>
          <w:iCs/>
          <w:sz w:val="24"/>
          <w:szCs w:val="24"/>
        </w:rPr>
        <w:t>cato dal rimettente.</w:t>
      </w:r>
    </w:p>
    <w:p w14:paraId="78A77ADC" w14:textId="77777777" w:rsidR="00981411" w:rsidRPr="00981411" w:rsidRDefault="00981411" w:rsidP="004F665F">
      <w:pPr>
        <w:pStyle w:val="Paragrafoelenco"/>
        <w:spacing w:line="240" w:lineRule="auto"/>
        <w:ind w:left="567" w:right="849"/>
        <w:jc w:val="both"/>
        <w:rPr>
          <w:i/>
          <w:iCs/>
          <w:sz w:val="24"/>
          <w:szCs w:val="24"/>
        </w:rPr>
      </w:pPr>
      <w:r w:rsidRPr="00981411">
        <w:rPr>
          <w:i/>
          <w:iCs/>
          <w:sz w:val="24"/>
          <w:szCs w:val="24"/>
        </w:rPr>
        <w:lastRenderedPageBreak/>
        <w:t>Più in particolare, tale disposizione deve essere dichiarata costituzionalmente illegittima nella parte in cui non prevede che il giudice pronunci sentenza di proscioglimento o di non luogo a procedere nei confronti di un imputato per uno dei delitti previsti dall’art. 1</w:t>
      </w:r>
      <w:hyperlink r:id="rId18" w:history="1">
        <w:r w:rsidRPr="00981411">
          <w:rPr>
            <w:rStyle w:val="Collegamentoipertestuale"/>
            <w:i/>
            <w:iCs/>
            <w:color w:val="auto"/>
            <w:sz w:val="24"/>
            <w:szCs w:val="24"/>
            <w:u w:val="none"/>
          </w:rPr>
          <w:t>71-ter della legge n. 633 del 1941 che,</w:t>
        </w:r>
      </w:hyperlink>
      <w:r w:rsidRPr="00981411">
        <w:rPr>
          <w:i/>
          <w:iCs/>
          <w:sz w:val="24"/>
          <w:szCs w:val="24"/>
        </w:rPr>
        <w:t xml:space="preserve"> in relazione al medesimo fatto, sia già stato sottoposto a procedimento, definitivamente conclusosi, per l’illecito amministrativo di cui all’art. 174-bis della medesima legge.</w:t>
      </w:r>
    </w:p>
    <w:p w14:paraId="4C21500B" w14:textId="77777777" w:rsidR="00981411" w:rsidRPr="00981411" w:rsidRDefault="00981411" w:rsidP="004F665F">
      <w:pPr>
        <w:pStyle w:val="Paragrafoelenco"/>
        <w:spacing w:line="240" w:lineRule="auto"/>
        <w:ind w:left="567" w:right="849"/>
        <w:jc w:val="both"/>
        <w:rPr>
          <w:i/>
          <w:iCs/>
          <w:sz w:val="24"/>
          <w:szCs w:val="24"/>
        </w:rPr>
      </w:pPr>
      <w:r w:rsidRPr="00981411">
        <w:rPr>
          <w:i/>
          <w:iCs/>
          <w:sz w:val="24"/>
          <w:szCs w:val="24"/>
        </w:rPr>
        <w:t xml:space="preserve">7.– </w:t>
      </w:r>
      <w:r w:rsidRPr="00201493">
        <w:rPr>
          <w:b/>
          <w:bCs/>
          <w:i/>
          <w:iCs/>
          <w:sz w:val="24"/>
          <w:szCs w:val="24"/>
        </w:rPr>
        <w:t xml:space="preserve">Questa Corte è, peraltro, consapevole che tale rimedio non è idoneo a evitare tutte le possibili violazioni del diritto al ne bis in idem fisiologicamente create dalla legge </w:t>
      </w:r>
      <w:hyperlink r:id="rId19" w:history="1">
        <w:r w:rsidRPr="00201493">
          <w:rPr>
            <w:rStyle w:val="Collegamentoipertestuale"/>
            <w:b/>
            <w:bCs/>
            <w:i/>
            <w:iCs/>
            <w:color w:val="auto"/>
            <w:sz w:val="24"/>
            <w:szCs w:val="24"/>
            <w:u w:val="none"/>
          </w:rPr>
          <w:t>n. 633 del 1941, in p</w:t>
        </w:r>
      </w:hyperlink>
      <w:r w:rsidRPr="00201493">
        <w:rPr>
          <w:b/>
          <w:bCs/>
          <w:i/>
          <w:iCs/>
          <w:sz w:val="24"/>
          <w:szCs w:val="24"/>
        </w:rPr>
        <w:t>articolare nell’ipotesi inversa in cui l’autore della violazione sia stato già definitivamente giudicato per uno dei delitti di cui all’art. 171-ter della legge, e sia successivamente sottoposto a procedimento amministrativo ai sensi dell’art. 174-bis</w:t>
      </w:r>
      <w:r w:rsidRPr="00981411">
        <w:rPr>
          <w:i/>
          <w:iCs/>
          <w:sz w:val="24"/>
          <w:szCs w:val="24"/>
        </w:rPr>
        <w:t>.</w:t>
      </w:r>
    </w:p>
    <w:p w14:paraId="3508953B" w14:textId="77777777" w:rsidR="00981411" w:rsidRPr="00981411" w:rsidRDefault="00981411" w:rsidP="004F665F">
      <w:pPr>
        <w:pStyle w:val="Paragrafoelenco"/>
        <w:spacing w:line="240" w:lineRule="auto"/>
        <w:ind w:left="567" w:right="849"/>
        <w:jc w:val="both"/>
        <w:rPr>
          <w:i/>
          <w:iCs/>
          <w:sz w:val="24"/>
          <w:szCs w:val="24"/>
        </w:rPr>
      </w:pPr>
      <w:r w:rsidRPr="00981411">
        <w:rPr>
          <w:i/>
          <w:iCs/>
          <w:sz w:val="24"/>
          <w:szCs w:val="24"/>
        </w:rPr>
        <w:t>Né il rimedio ora apprestato – pur necessario a evitare il prodursi di violazioni del diritto fondamentale nell’eventualità in cui il processo penale segua quello amministrativo – è idoneo di per sé a conferire razionalità complessiva al sistema, che consente comunque l’apertura di due procedimenti e il loro svolgimento parallelo, con conseguente duplicazione in capo all’interessato dei costi personali ed economici di cui si è detto.</w:t>
      </w:r>
    </w:p>
    <w:p w14:paraId="2551CD1B" w14:textId="5491947E" w:rsidR="00981411" w:rsidRDefault="00981411" w:rsidP="004F665F">
      <w:pPr>
        <w:pStyle w:val="Paragrafoelenco"/>
        <w:spacing w:line="240" w:lineRule="auto"/>
        <w:ind w:left="567" w:right="849"/>
        <w:jc w:val="both"/>
        <w:rPr>
          <w:i/>
          <w:iCs/>
          <w:sz w:val="24"/>
          <w:szCs w:val="24"/>
        </w:rPr>
      </w:pPr>
      <w:r w:rsidRPr="00201493">
        <w:rPr>
          <w:b/>
          <w:bCs/>
          <w:i/>
          <w:iCs/>
          <w:sz w:val="24"/>
          <w:szCs w:val="24"/>
        </w:rPr>
        <w:t>Spetta dunque al legislatore rimodulare la disciplina in esame in modo da assicurare un adeguato coordinamento tra le sue previsioni procedimentali e sanzionatorie, nel quadro di un’auspicabile rimeditazione complessiva dei vigenti sistemi di doppio binario sanzionatorio alla luce dei principi enunciati dalla Corte EDU, dalla Corte di giustizia e da questa stessa Corte</w:t>
      </w:r>
      <w:r w:rsidRPr="00981411">
        <w:rPr>
          <w:i/>
          <w:iCs/>
          <w:sz w:val="24"/>
          <w:szCs w:val="24"/>
        </w:rPr>
        <w:t>.</w:t>
      </w:r>
      <w:r>
        <w:rPr>
          <w:i/>
          <w:iCs/>
          <w:sz w:val="24"/>
          <w:szCs w:val="24"/>
        </w:rPr>
        <w:t>”</w:t>
      </w:r>
    </w:p>
    <w:p w14:paraId="6FFA85D4" w14:textId="78ED10F8" w:rsidR="00F63264" w:rsidRDefault="00F63264" w:rsidP="004F665F">
      <w:pPr>
        <w:pStyle w:val="Paragrafoelenco"/>
        <w:spacing w:line="240" w:lineRule="auto"/>
        <w:ind w:left="567" w:right="849"/>
        <w:jc w:val="both"/>
        <w:rPr>
          <w:b/>
          <w:bCs/>
          <w:iCs/>
          <w:sz w:val="24"/>
          <w:szCs w:val="24"/>
        </w:rPr>
      </w:pPr>
    </w:p>
    <w:p w14:paraId="39B0FD25" w14:textId="26497A03" w:rsidR="00F63264" w:rsidRPr="00F63264" w:rsidRDefault="00F63264" w:rsidP="004F665F">
      <w:pPr>
        <w:pStyle w:val="Paragrafoelenco"/>
        <w:spacing w:line="240" w:lineRule="auto"/>
        <w:ind w:left="567" w:right="849"/>
        <w:jc w:val="both"/>
        <w:rPr>
          <w:b/>
          <w:iCs/>
          <w:sz w:val="24"/>
          <w:szCs w:val="24"/>
        </w:rPr>
      </w:pPr>
      <w:r w:rsidRPr="00F63264">
        <w:rPr>
          <w:b/>
          <w:iCs/>
          <w:sz w:val="24"/>
          <w:szCs w:val="24"/>
        </w:rPr>
        <w:t xml:space="preserve">E questa rimeditazione è auspicabile anche per il penale – tributario. </w:t>
      </w:r>
    </w:p>
    <w:p w14:paraId="023FB9AF" w14:textId="77777777" w:rsidR="005B4D69" w:rsidRPr="00F63264" w:rsidRDefault="005B4D69" w:rsidP="00A82345">
      <w:pPr>
        <w:spacing w:after="0" w:line="360" w:lineRule="auto"/>
        <w:ind w:right="-1"/>
        <w:jc w:val="both"/>
        <w:rPr>
          <w:b/>
          <w:sz w:val="24"/>
          <w:szCs w:val="24"/>
        </w:rPr>
      </w:pPr>
    </w:p>
    <w:p w14:paraId="7F53F279" w14:textId="08DB74C5" w:rsidR="005B4D69" w:rsidRPr="005335D8" w:rsidRDefault="005B4D69" w:rsidP="00D44BD1">
      <w:pPr>
        <w:pStyle w:val="Paragrafoelenco"/>
        <w:numPr>
          <w:ilvl w:val="0"/>
          <w:numId w:val="5"/>
        </w:numPr>
        <w:spacing w:line="360" w:lineRule="auto"/>
        <w:ind w:left="425" w:hanging="425"/>
        <w:jc w:val="both"/>
        <w:outlineLvl w:val="1"/>
        <w:rPr>
          <w:b/>
          <w:bCs/>
          <w:sz w:val="24"/>
          <w:szCs w:val="24"/>
        </w:rPr>
      </w:pPr>
      <w:bookmarkStart w:id="31" w:name="_Toc186711255"/>
      <w:bookmarkStart w:id="32" w:name="_Toc186716999"/>
      <w:bookmarkStart w:id="33" w:name="_Toc186793155"/>
      <w:bookmarkStart w:id="34" w:name="_Toc186808352"/>
      <w:bookmarkStart w:id="35" w:name="_Toc186993203"/>
      <w:bookmarkStart w:id="36" w:name="_Toc187062369"/>
      <w:r w:rsidRPr="005335D8">
        <w:rPr>
          <w:b/>
          <w:bCs/>
          <w:sz w:val="24"/>
          <w:szCs w:val="24"/>
        </w:rPr>
        <w:t xml:space="preserve">CORTE DI CASSAZIONE SEZIONE QUINTA CIVILE </w:t>
      </w:r>
      <w:r w:rsidR="00201493" w:rsidRPr="005335D8">
        <w:rPr>
          <w:b/>
          <w:bCs/>
          <w:sz w:val="24"/>
          <w:szCs w:val="24"/>
        </w:rPr>
        <w:t>(TRIBUTARIA)</w:t>
      </w:r>
      <w:bookmarkEnd w:id="31"/>
      <w:bookmarkEnd w:id="32"/>
      <w:bookmarkEnd w:id="33"/>
      <w:bookmarkEnd w:id="34"/>
      <w:bookmarkEnd w:id="35"/>
      <w:bookmarkEnd w:id="36"/>
    </w:p>
    <w:p w14:paraId="6E4A466A" w14:textId="2BC00266" w:rsidR="005B4D69" w:rsidRPr="005B4D69" w:rsidRDefault="005B4D69" w:rsidP="005B4D69">
      <w:pPr>
        <w:spacing w:line="360" w:lineRule="auto"/>
        <w:ind w:left="360" w:right="-1"/>
        <w:jc w:val="both"/>
        <w:rPr>
          <w:b/>
          <w:bCs/>
          <w:sz w:val="24"/>
          <w:szCs w:val="24"/>
        </w:rPr>
      </w:pPr>
      <w:r w:rsidRPr="005B4D69">
        <w:rPr>
          <w:b/>
          <w:bCs/>
          <w:sz w:val="24"/>
          <w:szCs w:val="24"/>
        </w:rPr>
        <w:t xml:space="preserve">La Corte di Cassazione, Sezione Quinta Civile, con le sentenze, nn. 19859 del 14 novembre 2012 e n. 6918 del 20 marzo 2013, ha </w:t>
      </w:r>
      <w:r w:rsidR="00201493">
        <w:rPr>
          <w:b/>
          <w:bCs/>
          <w:sz w:val="24"/>
          <w:szCs w:val="24"/>
        </w:rPr>
        <w:t>stabilito</w:t>
      </w:r>
      <w:r w:rsidRPr="005B4D69">
        <w:rPr>
          <w:b/>
          <w:bCs/>
          <w:sz w:val="24"/>
          <w:szCs w:val="24"/>
        </w:rPr>
        <w:t>:</w:t>
      </w:r>
    </w:p>
    <w:p w14:paraId="0E5277D8" w14:textId="77777777" w:rsidR="00C86805" w:rsidRDefault="005B4D69" w:rsidP="00113A38">
      <w:pPr>
        <w:spacing w:line="240" w:lineRule="auto"/>
        <w:ind w:left="567" w:right="849"/>
        <w:jc w:val="both"/>
        <w:rPr>
          <w:sz w:val="24"/>
          <w:szCs w:val="24"/>
        </w:rPr>
      </w:pPr>
      <w:r w:rsidRPr="005B4D69">
        <w:rPr>
          <w:i/>
          <w:iCs/>
          <w:sz w:val="24"/>
          <w:szCs w:val="24"/>
        </w:rPr>
        <w:t>“</w:t>
      </w:r>
      <w:r w:rsidRPr="00621DDD">
        <w:rPr>
          <w:b/>
          <w:i/>
          <w:iCs/>
          <w:sz w:val="24"/>
          <w:szCs w:val="24"/>
        </w:rPr>
        <w:t>in relazione alla possibilità che gli elementi probatori acquisiti nel procedimento penale siano posti dal giudice tributario a base del proprio convincimento</w:t>
      </w:r>
      <w:r w:rsidRPr="005B4D69">
        <w:rPr>
          <w:i/>
          <w:iCs/>
          <w:sz w:val="24"/>
          <w:szCs w:val="24"/>
        </w:rPr>
        <w:t xml:space="preserve">; sentenze 3 dicembre 2010, n. 24587 e 22 maggio 2015, n. 10578, relative alla possibilità che la sentenza penale irrevocabile, pur non spiegando efficacia di giudicato, possa essere presa in considerazione come possibile fonte di prova dal giudice tributario; nonché, per converso, sezione terza penale, sentenze 24 settembre 2008-21 ottobre 2008, n. 39358, 28 ottobre 2015-18 gennaio 2016, n. 1628 e 23 ottobre 2018-5 dicembre 2018, n. 54379, tutte relative alla possibilità che gli elementi probatori acquisiti nel processo tributario facciano ingresso nel processo penale, ex art. </w:t>
      </w:r>
      <w:hyperlink r:id="rId20" w:history="1">
        <w:r w:rsidRPr="005B4D69">
          <w:rPr>
            <w:rStyle w:val="Collegamentoipertestuale"/>
            <w:i/>
            <w:iCs/>
            <w:color w:val="auto"/>
            <w:sz w:val="24"/>
            <w:szCs w:val="24"/>
            <w:u w:val="none"/>
          </w:rPr>
          <w:t>234 o 238-bis cod. proc. pen.</w:t>
        </w:r>
      </w:hyperlink>
      <w:r w:rsidRPr="005B4D69">
        <w:rPr>
          <w:i/>
          <w:iCs/>
          <w:sz w:val="24"/>
          <w:szCs w:val="24"/>
        </w:rPr>
        <w:t xml:space="preserve">, quali prove valutabili ai sensi degli artt. </w:t>
      </w:r>
      <w:hyperlink r:id="rId21" w:history="1">
        <w:r w:rsidRPr="005B4D69">
          <w:rPr>
            <w:rStyle w:val="Collegamentoipertestuale"/>
            <w:i/>
            <w:iCs/>
            <w:color w:val="auto"/>
            <w:sz w:val="24"/>
            <w:szCs w:val="24"/>
            <w:u w:val="none"/>
          </w:rPr>
          <w:t>187 e 192 cod. proc. pen.</w:t>
        </w:r>
      </w:hyperlink>
      <w:r w:rsidRPr="005B4D69">
        <w:rPr>
          <w:i/>
          <w:iCs/>
          <w:sz w:val="24"/>
          <w:szCs w:val="24"/>
        </w:rPr>
        <w:t>).”</w:t>
      </w:r>
      <w:r w:rsidRPr="005B4D69">
        <w:rPr>
          <w:sz w:val="24"/>
          <w:szCs w:val="24"/>
        </w:rPr>
        <w:t xml:space="preserve"> </w:t>
      </w:r>
    </w:p>
    <w:p w14:paraId="19E51F96" w14:textId="6BDA9F3A" w:rsidR="00D647C3" w:rsidRDefault="005B4D69" w:rsidP="00F863B7">
      <w:pPr>
        <w:spacing w:line="240" w:lineRule="auto"/>
        <w:ind w:left="567" w:right="849"/>
        <w:jc w:val="both"/>
        <w:rPr>
          <w:b/>
          <w:bCs/>
          <w:sz w:val="24"/>
          <w:szCs w:val="24"/>
        </w:rPr>
      </w:pPr>
      <w:r w:rsidRPr="005B4D69">
        <w:rPr>
          <w:b/>
          <w:bCs/>
          <w:sz w:val="24"/>
          <w:szCs w:val="24"/>
        </w:rPr>
        <w:t>(</w:t>
      </w:r>
      <w:r w:rsidR="00201493">
        <w:rPr>
          <w:b/>
          <w:bCs/>
          <w:sz w:val="24"/>
          <w:szCs w:val="24"/>
        </w:rPr>
        <w:t xml:space="preserve">sentenze richiamate dalla </w:t>
      </w:r>
      <w:r w:rsidRPr="005B4D69">
        <w:rPr>
          <w:b/>
          <w:bCs/>
          <w:sz w:val="24"/>
          <w:szCs w:val="24"/>
        </w:rPr>
        <w:t xml:space="preserve">Corte Costituzionale </w:t>
      </w:r>
      <w:r>
        <w:rPr>
          <w:b/>
          <w:bCs/>
          <w:sz w:val="24"/>
          <w:szCs w:val="24"/>
        </w:rPr>
        <w:t xml:space="preserve">con la citata sentenza n. 222 del 24 ottobre 2019). </w:t>
      </w:r>
    </w:p>
    <w:p w14:paraId="3D1B619E" w14:textId="77777777" w:rsidR="00F63264" w:rsidRDefault="00F63264" w:rsidP="00F863B7">
      <w:pPr>
        <w:spacing w:line="240" w:lineRule="auto"/>
        <w:ind w:left="567" w:right="849"/>
        <w:jc w:val="both"/>
        <w:rPr>
          <w:b/>
          <w:bCs/>
          <w:sz w:val="24"/>
          <w:szCs w:val="24"/>
        </w:rPr>
      </w:pPr>
    </w:p>
    <w:p w14:paraId="47C828B6" w14:textId="77777777" w:rsidR="00C84044" w:rsidRPr="00D647C3" w:rsidRDefault="00C84044" w:rsidP="00F863B7">
      <w:pPr>
        <w:spacing w:line="240" w:lineRule="auto"/>
        <w:ind w:left="567" w:right="849"/>
        <w:jc w:val="both"/>
        <w:rPr>
          <w:b/>
          <w:bCs/>
          <w:sz w:val="24"/>
          <w:szCs w:val="24"/>
        </w:rPr>
      </w:pPr>
    </w:p>
    <w:p w14:paraId="65990390" w14:textId="6B5D7EE8" w:rsidR="00D647C3" w:rsidRDefault="00D647C3" w:rsidP="00D44BD1">
      <w:pPr>
        <w:pStyle w:val="Paragrafoelenco"/>
        <w:numPr>
          <w:ilvl w:val="0"/>
          <w:numId w:val="5"/>
        </w:numPr>
        <w:spacing w:line="360" w:lineRule="auto"/>
        <w:ind w:left="425" w:hanging="425"/>
        <w:jc w:val="both"/>
        <w:outlineLvl w:val="1"/>
        <w:rPr>
          <w:b/>
          <w:bCs/>
          <w:sz w:val="24"/>
          <w:szCs w:val="24"/>
        </w:rPr>
      </w:pPr>
      <w:bookmarkStart w:id="37" w:name="_Toc186711256"/>
      <w:bookmarkStart w:id="38" w:name="_Toc186717000"/>
      <w:bookmarkStart w:id="39" w:name="_Toc186793156"/>
      <w:bookmarkStart w:id="40" w:name="_Toc186808353"/>
      <w:bookmarkStart w:id="41" w:name="_Toc186993204"/>
      <w:bookmarkStart w:id="42" w:name="_Toc187062370"/>
      <w:r w:rsidRPr="00D647C3">
        <w:rPr>
          <w:b/>
          <w:bCs/>
          <w:sz w:val="24"/>
          <w:szCs w:val="24"/>
        </w:rPr>
        <w:lastRenderedPageBreak/>
        <w:t>CORTE DI CASSAZIONE TERZA SEZIONE PENALE</w:t>
      </w:r>
      <w:bookmarkEnd w:id="37"/>
      <w:bookmarkEnd w:id="38"/>
      <w:bookmarkEnd w:id="39"/>
      <w:bookmarkEnd w:id="40"/>
      <w:bookmarkEnd w:id="41"/>
      <w:bookmarkEnd w:id="42"/>
      <w:r w:rsidRPr="00D647C3">
        <w:rPr>
          <w:b/>
          <w:bCs/>
          <w:sz w:val="24"/>
          <w:szCs w:val="24"/>
        </w:rPr>
        <w:t xml:space="preserve"> </w:t>
      </w:r>
    </w:p>
    <w:p w14:paraId="6305F693" w14:textId="529AA296" w:rsidR="00D647C3" w:rsidRPr="00D647C3" w:rsidRDefault="00D647C3" w:rsidP="00C84044">
      <w:pPr>
        <w:pStyle w:val="Paragrafoelenco"/>
        <w:numPr>
          <w:ilvl w:val="0"/>
          <w:numId w:val="8"/>
        </w:numPr>
        <w:spacing w:line="360" w:lineRule="auto"/>
        <w:ind w:left="567" w:right="-1" w:hanging="283"/>
        <w:jc w:val="both"/>
        <w:rPr>
          <w:b/>
          <w:bCs/>
          <w:sz w:val="24"/>
          <w:szCs w:val="24"/>
        </w:rPr>
      </w:pPr>
      <w:bookmarkStart w:id="43" w:name="_Hlk186545754"/>
      <w:r w:rsidRPr="00D647C3">
        <w:rPr>
          <w:b/>
          <w:bCs/>
          <w:sz w:val="24"/>
          <w:szCs w:val="24"/>
        </w:rPr>
        <w:t xml:space="preserve">La Corte di Cassazione – Terza Sezione Penale – con la sentenza n. 5235 del 07 febbraio 2023 sull’argomento del </w:t>
      </w:r>
      <w:r w:rsidRPr="00D647C3">
        <w:rPr>
          <w:b/>
          <w:bCs/>
          <w:i/>
          <w:iCs/>
          <w:sz w:val="24"/>
          <w:szCs w:val="24"/>
        </w:rPr>
        <w:t>ne bis in idem</w:t>
      </w:r>
      <w:r w:rsidRPr="00D647C3">
        <w:rPr>
          <w:b/>
          <w:bCs/>
          <w:sz w:val="24"/>
          <w:szCs w:val="24"/>
        </w:rPr>
        <w:t xml:space="preserve"> ha </w:t>
      </w:r>
      <w:r w:rsidR="00201493">
        <w:rPr>
          <w:b/>
          <w:bCs/>
          <w:sz w:val="24"/>
          <w:szCs w:val="24"/>
        </w:rPr>
        <w:t>stabilito</w:t>
      </w:r>
      <w:r w:rsidRPr="00D647C3">
        <w:rPr>
          <w:b/>
          <w:bCs/>
          <w:sz w:val="24"/>
          <w:szCs w:val="24"/>
        </w:rPr>
        <w:t xml:space="preserve"> quanto segue: </w:t>
      </w:r>
    </w:p>
    <w:bookmarkEnd w:id="43"/>
    <w:p w14:paraId="62DA5EC6" w14:textId="7ADC0E8D" w:rsidR="00D647C3" w:rsidRDefault="00D647C3" w:rsidP="00C84044">
      <w:pPr>
        <w:pStyle w:val="Paragrafoelenco"/>
        <w:spacing w:line="240" w:lineRule="auto"/>
        <w:ind w:left="567" w:right="849"/>
        <w:jc w:val="both"/>
        <w:rPr>
          <w:i/>
          <w:iCs/>
          <w:sz w:val="24"/>
          <w:szCs w:val="24"/>
        </w:rPr>
      </w:pPr>
      <w:r w:rsidRPr="00D647C3">
        <w:rPr>
          <w:i/>
          <w:iCs/>
          <w:sz w:val="24"/>
          <w:szCs w:val="24"/>
        </w:rPr>
        <w:t>“</w:t>
      </w:r>
      <w:r w:rsidRPr="00201493">
        <w:rPr>
          <w:b/>
          <w:bCs/>
          <w:i/>
          <w:iCs/>
          <w:sz w:val="24"/>
          <w:szCs w:val="24"/>
        </w:rPr>
        <w:t xml:space="preserve">Con la citata sentenza Sergey </w:t>
      </w:r>
      <w:proofErr w:type="spellStart"/>
      <w:r w:rsidRPr="00201493">
        <w:rPr>
          <w:b/>
          <w:bCs/>
          <w:i/>
          <w:iCs/>
          <w:sz w:val="24"/>
          <w:szCs w:val="24"/>
        </w:rPr>
        <w:t>Zolotukhin</w:t>
      </w:r>
      <w:proofErr w:type="spellEnd"/>
      <w:r w:rsidR="004F665F">
        <w:rPr>
          <w:b/>
          <w:bCs/>
          <w:i/>
          <w:iCs/>
          <w:sz w:val="24"/>
          <w:szCs w:val="24"/>
        </w:rPr>
        <w:t xml:space="preserve"> </w:t>
      </w:r>
      <w:r w:rsidRPr="00201493">
        <w:rPr>
          <w:b/>
          <w:bCs/>
          <w:i/>
          <w:iCs/>
          <w:sz w:val="24"/>
          <w:szCs w:val="24"/>
        </w:rPr>
        <w:t xml:space="preserve">c. Russia, la Corte EDU, Grande Camera, 10/02/2009, </w:t>
      </w:r>
      <w:proofErr w:type="spellStart"/>
      <w:r w:rsidRPr="00201493">
        <w:rPr>
          <w:b/>
          <w:bCs/>
          <w:i/>
          <w:iCs/>
          <w:sz w:val="24"/>
          <w:szCs w:val="24"/>
        </w:rPr>
        <w:t>e'</w:t>
      </w:r>
      <w:proofErr w:type="spellEnd"/>
      <w:r w:rsidRPr="00201493">
        <w:rPr>
          <w:b/>
          <w:bCs/>
          <w:i/>
          <w:iCs/>
          <w:sz w:val="24"/>
          <w:szCs w:val="24"/>
        </w:rPr>
        <w:t xml:space="preserve"> giunta ad un approdo definitivo e organico in tema di applicazione del divieto di "bis in idem" codificato dall'articolo 4, del Protocollo n. 7 della Convenzione EDU</w:t>
      </w:r>
      <w:r w:rsidRPr="00D647C3">
        <w:rPr>
          <w:i/>
          <w:iCs/>
          <w:sz w:val="24"/>
          <w:szCs w:val="24"/>
        </w:rPr>
        <w:t xml:space="preserve">. Dopo aver dato conto delle pronunce che l'hanno preceduta, la Corte Europea ha esaminato i trattati e gli strumenti internazionali che sanciscono il divieto del </w:t>
      </w:r>
      <w:proofErr w:type="spellStart"/>
      <w:r w:rsidRPr="00D647C3">
        <w:rPr>
          <w:i/>
          <w:iCs/>
          <w:sz w:val="24"/>
          <w:szCs w:val="24"/>
        </w:rPr>
        <w:t>Ã¢EuroËœbis</w:t>
      </w:r>
      <w:proofErr w:type="spellEnd"/>
      <w:r w:rsidRPr="00D647C3">
        <w:rPr>
          <w:i/>
          <w:iCs/>
          <w:sz w:val="24"/>
          <w:szCs w:val="24"/>
        </w:rPr>
        <w:t xml:space="preserve"> in idem, constatando che non tutti usano gli stessi termini. L'articolo 4 del Protocollo n. 7 della Convenzione EDU, l'articolo 14, § 7, del Patto internazionale sui diritti civili e politici adottato dall'Assemblea Generale delle Nazioni Unite, e l'articolo 50 della Carta Europea dei Diritti Fondamentali utilizzano i termini: "(</w:t>
      </w:r>
      <w:proofErr w:type="spellStart"/>
      <w:r w:rsidRPr="00D647C3">
        <w:rPr>
          <w:i/>
          <w:iCs/>
          <w:sz w:val="24"/>
          <w:szCs w:val="24"/>
        </w:rPr>
        <w:t>same</w:t>
      </w:r>
      <w:proofErr w:type="spellEnd"/>
      <w:r w:rsidRPr="00D647C3">
        <w:rPr>
          <w:i/>
          <w:iCs/>
          <w:sz w:val="24"/>
          <w:szCs w:val="24"/>
        </w:rPr>
        <w:t xml:space="preserve">) </w:t>
      </w:r>
      <w:proofErr w:type="spellStart"/>
      <w:r w:rsidRPr="00D647C3">
        <w:rPr>
          <w:i/>
          <w:iCs/>
          <w:sz w:val="24"/>
          <w:szCs w:val="24"/>
        </w:rPr>
        <w:t>offence</w:t>
      </w:r>
      <w:proofErr w:type="spellEnd"/>
      <w:r w:rsidRPr="00D647C3">
        <w:rPr>
          <w:i/>
          <w:iCs/>
          <w:sz w:val="24"/>
          <w:szCs w:val="24"/>
        </w:rPr>
        <w:t>/(</w:t>
      </w:r>
      <w:proofErr w:type="spellStart"/>
      <w:r w:rsidRPr="00D647C3">
        <w:rPr>
          <w:i/>
          <w:iCs/>
          <w:sz w:val="24"/>
          <w:szCs w:val="24"/>
        </w:rPr>
        <w:t>meme</w:t>
      </w:r>
      <w:proofErr w:type="spellEnd"/>
      <w:r w:rsidRPr="00D647C3">
        <w:rPr>
          <w:i/>
          <w:iCs/>
          <w:sz w:val="24"/>
          <w:szCs w:val="24"/>
        </w:rPr>
        <w:t xml:space="preserve">) </w:t>
      </w:r>
      <w:proofErr w:type="spellStart"/>
      <w:r w:rsidRPr="00D647C3">
        <w:rPr>
          <w:i/>
          <w:iCs/>
          <w:sz w:val="24"/>
          <w:szCs w:val="24"/>
        </w:rPr>
        <w:t>infraction</w:t>
      </w:r>
      <w:proofErr w:type="spellEnd"/>
      <w:r w:rsidRPr="00D647C3">
        <w:rPr>
          <w:i/>
          <w:iCs/>
          <w:sz w:val="24"/>
          <w:szCs w:val="24"/>
        </w:rPr>
        <w:t xml:space="preserve">" (in italiano i termini </w:t>
      </w:r>
      <w:proofErr w:type="spellStart"/>
      <w:r w:rsidRPr="00D647C3">
        <w:rPr>
          <w:i/>
          <w:iCs/>
          <w:sz w:val="24"/>
          <w:szCs w:val="24"/>
        </w:rPr>
        <w:t>offence</w:t>
      </w:r>
      <w:proofErr w:type="spellEnd"/>
      <w:r w:rsidRPr="00D647C3">
        <w:rPr>
          <w:i/>
          <w:iCs/>
          <w:sz w:val="24"/>
          <w:szCs w:val="24"/>
        </w:rPr>
        <w:t xml:space="preserve"> e </w:t>
      </w:r>
      <w:proofErr w:type="spellStart"/>
      <w:r w:rsidRPr="00D647C3">
        <w:rPr>
          <w:i/>
          <w:iCs/>
          <w:sz w:val="24"/>
          <w:szCs w:val="24"/>
        </w:rPr>
        <w:t>infraction</w:t>
      </w:r>
      <w:proofErr w:type="spellEnd"/>
      <w:r w:rsidRPr="00D647C3">
        <w:rPr>
          <w:i/>
          <w:iCs/>
          <w:sz w:val="24"/>
          <w:szCs w:val="24"/>
        </w:rPr>
        <w:t xml:space="preserve"> possono essere tradotti sia come reato che come offesa. Nella traduzione non ufficiale in lingua italiana dell'articolo 4 del Protocollo n. 7, sono stati tradotti con la parola reato). L'articolo 8 § 4 della Convenzione Americana sui diritti umani utilizza invece i termini "(</w:t>
      </w:r>
      <w:proofErr w:type="spellStart"/>
      <w:r w:rsidRPr="00D647C3">
        <w:rPr>
          <w:i/>
          <w:iCs/>
          <w:sz w:val="24"/>
          <w:szCs w:val="24"/>
        </w:rPr>
        <w:t>same</w:t>
      </w:r>
      <w:proofErr w:type="spellEnd"/>
      <w:r w:rsidRPr="00D647C3">
        <w:rPr>
          <w:i/>
          <w:iCs/>
          <w:sz w:val="24"/>
          <w:szCs w:val="24"/>
        </w:rPr>
        <w:t xml:space="preserve">) cause", </w:t>
      </w:r>
      <w:proofErr w:type="spellStart"/>
      <w:r w:rsidRPr="00D647C3">
        <w:rPr>
          <w:i/>
          <w:iCs/>
          <w:sz w:val="24"/>
          <w:szCs w:val="24"/>
        </w:rPr>
        <w:t>cosi'</w:t>
      </w:r>
      <w:proofErr w:type="spellEnd"/>
      <w:r w:rsidRPr="00D647C3">
        <w:rPr>
          <w:i/>
          <w:iCs/>
          <w:sz w:val="24"/>
          <w:szCs w:val="24"/>
        </w:rPr>
        <w:t xml:space="preserve"> interpretato dalla Corte Inter-americana sui diritti umani: "Diversamente dalla formula utilizzata da altri strumenti internazionali di protezione dei diritti umani (ad esempio, il Patto internazionale delle Nazioni Unite sui diritti civili e politici, articolo 14 § 7), che fa riferimento allo stesso "crimine", la Convenzione americana usa l'espressione "(</w:t>
      </w:r>
      <w:proofErr w:type="spellStart"/>
      <w:r w:rsidRPr="00D647C3">
        <w:rPr>
          <w:i/>
          <w:iCs/>
          <w:sz w:val="24"/>
          <w:szCs w:val="24"/>
        </w:rPr>
        <w:t>same</w:t>
      </w:r>
      <w:proofErr w:type="spellEnd"/>
      <w:r w:rsidRPr="00D647C3">
        <w:rPr>
          <w:i/>
          <w:iCs/>
          <w:sz w:val="24"/>
          <w:szCs w:val="24"/>
        </w:rPr>
        <w:t>) cause/(</w:t>
      </w:r>
      <w:proofErr w:type="spellStart"/>
      <w:r w:rsidRPr="00D647C3">
        <w:rPr>
          <w:i/>
          <w:iCs/>
          <w:sz w:val="24"/>
          <w:szCs w:val="24"/>
        </w:rPr>
        <w:t>meme</w:t>
      </w:r>
      <w:proofErr w:type="spellEnd"/>
      <w:r w:rsidRPr="00D647C3">
        <w:rPr>
          <w:i/>
          <w:iCs/>
          <w:sz w:val="24"/>
          <w:szCs w:val="24"/>
        </w:rPr>
        <w:t xml:space="preserve">) </w:t>
      </w:r>
      <w:proofErr w:type="spellStart"/>
      <w:r w:rsidRPr="00D647C3">
        <w:rPr>
          <w:i/>
          <w:iCs/>
          <w:sz w:val="24"/>
          <w:szCs w:val="24"/>
        </w:rPr>
        <w:t>faits</w:t>
      </w:r>
      <w:proofErr w:type="spellEnd"/>
      <w:r w:rsidRPr="00D647C3">
        <w:rPr>
          <w:i/>
          <w:iCs/>
          <w:sz w:val="24"/>
          <w:szCs w:val="24"/>
        </w:rPr>
        <w:t xml:space="preserve">", che </w:t>
      </w:r>
      <w:proofErr w:type="spellStart"/>
      <w:r w:rsidRPr="00D647C3">
        <w:rPr>
          <w:i/>
          <w:iCs/>
          <w:sz w:val="24"/>
          <w:szCs w:val="24"/>
        </w:rPr>
        <w:t>e'</w:t>
      </w:r>
      <w:proofErr w:type="spellEnd"/>
      <w:r w:rsidRPr="00D647C3">
        <w:rPr>
          <w:i/>
          <w:iCs/>
          <w:sz w:val="24"/>
          <w:szCs w:val="24"/>
        </w:rPr>
        <w:t xml:space="preserve"> un termine decisamente </w:t>
      </w:r>
      <w:proofErr w:type="spellStart"/>
      <w:r w:rsidRPr="00D647C3">
        <w:rPr>
          <w:i/>
          <w:iCs/>
          <w:sz w:val="24"/>
          <w:szCs w:val="24"/>
        </w:rPr>
        <w:t>piu'</w:t>
      </w:r>
      <w:proofErr w:type="spellEnd"/>
      <w:r w:rsidRPr="00D647C3">
        <w:rPr>
          <w:i/>
          <w:iCs/>
          <w:sz w:val="24"/>
          <w:szCs w:val="24"/>
        </w:rPr>
        <w:t xml:space="preserve"> favorevole alla vittima". L'articolo 54 della Convenzione Schengen del 1985 utilizza i termini "(</w:t>
      </w:r>
      <w:proofErr w:type="spellStart"/>
      <w:r w:rsidRPr="00D647C3">
        <w:rPr>
          <w:i/>
          <w:iCs/>
          <w:sz w:val="24"/>
          <w:szCs w:val="24"/>
        </w:rPr>
        <w:t>same</w:t>
      </w:r>
      <w:proofErr w:type="spellEnd"/>
      <w:r w:rsidRPr="00D647C3">
        <w:rPr>
          <w:i/>
          <w:iCs/>
          <w:sz w:val="24"/>
          <w:szCs w:val="24"/>
        </w:rPr>
        <w:t>)</w:t>
      </w:r>
      <w:proofErr w:type="spellStart"/>
      <w:r w:rsidRPr="00D647C3">
        <w:rPr>
          <w:i/>
          <w:iCs/>
          <w:sz w:val="24"/>
          <w:szCs w:val="24"/>
        </w:rPr>
        <w:t>facts</w:t>
      </w:r>
      <w:proofErr w:type="spellEnd"/>
      <w:r w:rsidRPr="00D647C3">
        <w:rPr>
          <w:i/>
          <w:iCs/>
          <w:sz w:val="24"/>
          <w:szCs w:val="24"/>
        </w:rPr>
        <w:t>/(</w:t>
      </w:r>
      <w:proofErr w:type="spellStart"/>
      <w:r w:rsidRPr="00D647C3">
        <w:rPr>
          <w:i/>
          <w:iCs/>
          <w:sz w:val="24"/>
          <w:szCs w:val="24"/>
        </w:rPr>
        <w:t>meme</w:t>
      </w:r>
      <w:proofErr w:type="spellEnd"/>
      <w:r w:rsidRPr="00D647C3">
        <w:rPr>
          <w:i/>
          <w:iCs/>
          <w:sz w:val="24"/>
          <w:szCs w:val="24"/>
        </w:rPr>
        <w:t xml:space="preserve">) </w:t>
      </w:r>
      <w:proofErr w:type="spellStart"/>
      <w:r w:rsidRPr="00D647C3">
        <w:rPr>
          <w:i/>
          <w:iCs/>
          <w:sz w:val="24"/>
          <w:szCs w:val="24"/>
        </w:rPr>
        <w:t>faits</w:t>
      </w:r>
      <w:proofErr w:type="spellEnd"/>
      <w:r w:rsidRPr="00D647C3">
        <w:rPr>
          <w:i/>
          <w:iCs/>
          <w:sz w:val="24"/>
          <w:szCs w:val="24"/>
        </w:rPr>
        <w:t>". L'articolo 20 dello Statuto di Roma della Corte penale internazionale utilizza i termini "(</w:t>
      </w:r>
      <w:proofErr w:type="spellStart"/>
      <w:r w:rsidRPr="00D647C3">
        <w:rPr>
          <w:i/>
          <w:iCs/>
          <w:sz w:val="24"/>
          <w:szCs w:val="24"/>
        </w:rPr>
        <w:t>same</w:t>
      </w:r>
      <w:proofErr w:type="spellEnd"/>
      <w:r w:rsidRPr="00D647C3">
        <w:rPr>
          <w:i/>
          <w:iCs/>
          <w:sz w:val="24"/>
          <w:szCs w:val="24"/>
        </w:rPr>
        <w:t xml:space="preserve">) </w:t>
      </w:r>
      <w:proofErr w:type="spellStart"/>
      <w:r w:rsidRPr="00D647C3">
        <w:rPr>
          <w:i/>
          <w:iCs/>
          <w:sz w:val="24"/>
          <w:szCs w:val="24"/>
        </w:rPr>
        <w:t>conduct</w:t>
      </w:r>
      <w:proofErr w:type="spellEnd"/>
      <w:r w:rsidRPr="00D647C3">
        <w:rPr>
          <w:i/>
          <w:iCs/>
          <w:sz w:val="24"/>
          <w:szCs w:val="24"/>
        </w:rPr>
        <w:t>/ (</w:t>
      </w:r>
      <w:proofErr w:type="spellStart"/>
      <w:r w:rsidRPr="00D647C3">
        <w:rPr>
          <w:i/>
          <w:iCs/>
          <w:sz w:val="24"/>
          <w:szCs w:val="24"/>
        </w:rPr>
        <w:t>memes</w:t>
      </w:r>
      <w:proofErr w:type="spellEnd"/>
      <w:r w:rsidRPr="00D647C3">
        <w:rPr>
          <w:i/>
          <w:iCs/>
          <w:sz w:val="24"/>
          <w:szCs w:val="24"/>
        </w:rPr>
        <w:t xml:space="preserve">) </w:t>
      </w:r>
      <w:proofErr w:type="spellStart"/>
      <w:r w:rsidRPr="00D647C3">
        <w:rPr>
          <w:i/>
          <w:iCs/>
          <w:sz w:val="24"/>
          <w:szCs w:val="24"/>
        </w:rPr>
        <w:t>actes</w:t>
      </w:r>
      <w:proofErr w:type="spellEnd"/>
      <w:r w:rsidRPr="00D647C3">
        <w:rPr>
          <w:i/>
          <w:iCs/>
          <w:sz w:val="24"/>
          <w:szCs w:val="24"/>
        </w:rPr>
        <w:t xml:space="preserve"> </w:t>
      </w:r>
      <w:proofErr w:type="spellStart"/>
      <w:r w:rsidRPr="00D647C3">
        <w:rPr>
          <w:i/>
          <w:iCs/>
          <w:sz w:val="24"/>
          <w:szCs w:val="24"/>
        </w:rPr>
        <w:t>constitutifs</w:t>
      </w:r>
      <w:proofErr w:type="spellEnd"/>
      <w:r w:rsidRPr="00D647C3">
        <w:rPr>
          <w:i/>
          <w:iCs/>
          <w:sz w:val="24"/>
          <w:szCs w:val="24"/>
        </w:rPr>
        <w:t xml:space="preserve">". </w:t>
      </w:r>
      <w:r w:rsidRPr="00201493">
        <w:rPr>
          <w:b/>
          <w:bCs/>
          <w:i/>
          <w:iCs/>
          <w:sz w:val="24"/>
          <w:szCs w:val="24"/>
        </w:rPr>
        <w:t xml:space="preserve">La Corte EDU ha quindi sottolineato che la distinzione tra i termini "stessi atti" o "stessi fatti", da un lato, e "stesso reato", dall'altro, </w:t>
      </w:r>
      <w:proofErr w:type="spellStart"/>
      <w:r w:rsidRPr="00201493">
        <w:rPr>
          <w:b/>
          <w:bCs/>
          <w:i/>
          <w:iCs/>
          <w:sz w:val="24"/>
          <w:szCs w:val="24"/>
        </w:rPr>
        <w:t>e'</w:t>
      </w:r>
      <w:proofErr w:type="spellEnd"/>
      <w:r w:rsidRPr="00201493">
        <w:rPr>
          <w:b/>
          <w:bCs/>
          <w:i/>
          <w:iCs/>
          <w:sz w:val="24"/>
          <w:szCs w:val="24"/>
        </w:rPr>
        <w:t xml:space="preserve"> stata ritenuta sia dalla CGUE che da quella Inter-americana un elemento importante a favore dell'adozione di un approccio basato strettamente </w:t>
      </w:r>
      <w:proofErr w:type="spellStart"/>
      <w:r w:rsidRPr="00201493">
        <w:rPr>
          <w:b/>
          <w:bCs/>
          <w:i/>
          <w:iCs/>
          <w:sz w:val="24"/>
          <w:szCs w:val="24"/>
        </w:rPr>
        <w:t>sull'identita'</w:t>
      </w:r>
      <w:proofErr w:type="spellEnd"/>
      <w:r w:rsidRPr="00201493">
        <w:rPr>
          <w:b/>
          <w:bCs/>
          <w:i/>
          <w:iCs/>
          <w:sz w:val="24"/>
          <w:szCs w:val="24"/>
        </w:rPr>
        <w:t xml:space="preserve"> degli atti materiali e del rifiuto della qualificazione giuridica di tali atti giudicata come irrilevante.</w:t>
      </w:r>
      <w:r w:rsidRPr="00D647C3">
        <w:rPr>
          <w:i/>
          <w:iCs/>
          <w:sz w:val="24"/>
          <w:szCs w:val="24"/>
        </w:rPr>
        <w:t xml:space="preserve"> Un tale approccio interpretativo, secondo le due Corti, </w:t>
      </w:r>
      <w:proofErr w:type="spellStart"/>
      <w:r w:rsidRPr="00D647C3">
        <w:rPr>
          <w:i/>
          <w:iCs/>
          <w:sz w:val="24"/>
          <w:szCs w:val="24"/>
        </w:rPr>
        <w:t>e'</w:t>
      </w:r>
      <w:proofErr w:type="spellEnd"/>
      <w:r w:rsidRPr="00D647C3">
        <w:rPr>
          <w:i/>
          <w:iCs/>
          <w:sz w:val="24"/>
          <w:szCs w:val="24"/>
        </w:rPr>
        <w:t xml:space="preserve"> </w:t>
      </w:r>
      <w:proofErr w:type="spellStart"/>
      <w:r w:rsidRPr="00D647C3">
        <w:rPr>
          <w:i/>
          <w:iCs/>
          <w:sz w:val="24"/>
          <w:szCs w:val="24"/>
        </w:rPr>
        <w:t>piu'</w:t>
      </w:r>
      <w:proofErr w:type="spellEnd"/>
      <w:r w:rsidRPr="00D647C3">
        <w:rPr>
          <w:i/>
          <w:iCs/>
          <w:sz w:val="24"/>
          <w:szCs w:val="24"/>
        </w:rPr>
        <w:t xml:space="preserve"> favorevole - annota la Corte EDU - </w:t>
      </w:r>
      <w:proofErr w:type="spellStart"/>
      <w:r w:rsidRPr="00D647C3">
        <w:rPr>
          <w:i/>
          <w:iCs/>
          <w:sz w:val="24"/>
          <w:szCs w:val="24"/>
        </w:rPr>
        <w:t>perche</w:t>
      </w:r>
      <w:proofErr w:type="spellEnd"/>
      <w:r w:rsidRPr="00D647C3">
        <w:rPr>
          <w:i/>
          <w:iCs/>
          <w:sz w:val="24"/>
          <w:szCs w:val="24"/>
        </w:rPr>
        <w:t>' l'autore del reato saprebbe che, una volta condannato o assolto, non deve temere ulteriori procedimenti penali per la medesima condotta o il medesimo fatto. La Corte EDU prende spunto da questa constatazione e, ribadendo che la Convenzione EDU deve essere interpretata ed applicata in modo da rendere pratici ed effettivi e non teorici o illusori i diritti in essa riconosciuti, ha affermato che l'uso del termine "</w:t>
      </w:r>
      <w:proofErr w:type="spellStart"/>
      <w:r w:rsidRPr="00D647C3">
        <w:rPr>
          <w:i/>
          <w:iCs/>
          <w:sz w:val="24"/>
          <w:szCs w:val="24"/>
        </w:rPr>
        <w:t>offence</w:t>
      </w:r>
      <w:proofErr w:type="spellEnd"/>
      <w:r w:rsidRPr="00D647C3">
        <w:rPr>
          <w:i/>
          <w:iCs/>
          <w:sz w:val="24"/>
          <w:szCs w:val="24"/>
        </w:rPr>
        <w:t>/</w:t>
      </w:r>
      <w:proofErr w:type="spellStart"/>
      <w:r w:rsidRPr="00D647C3">
        <w:rPr>
          <w:i/>
          <w:iCs/>
          <w:sz w:val="24"/>
          <w:szCs w:val="24"/>
        </w:rPr>
        <w:t>infraction</w:t>
      </w:r>
      <w:proofErr w:type="spellEnd"/>
      <w:r w:rsidRPr="00D647C3">
        <w:rPr>
          <w:i/>
          <w:iCs/>
          <w:sz w:val="24"/>
          <w:szCs w:val="24"/>
        </w:rPr>
        <w:t xml:space="preserve">" nell'articolo 4 del Protocollo n. 7, non giustifica un approccio interpretativo di tipo restrittivo; </w:t>
      </w:r>
      <w:r w:rsidRPr="00264864">
        <w:rPr>
          <w:b/>
          <w:i/>
          <w:iCs/>
          <w:sz w:val="24"/>
          <w:szCs w:val="24"/>
        </w:rPr>
        <w:t xml:space="preserve">il ricorso alla mera qualificazione giuridica del medesimo fatto rischia di indebolire il divieto di "bis in idem" piuttosto che renderlo pratico ed effettivo </w:t>
      </w:r>
      <w:proofErr w:type="spellStart"/>
      <w:r w:rsidRPr="00264864">
        <w:rPr>
          <w:b/>
          <w:i/>
          <w:iCs/>
          <w:sz w:val="24"/>
          <w:szCs w:val="24"/>
        </w:rPr>
        <w:t>perche</w:t>
      </w:r>
      <w:proofErr w:type="spellEnd"/>
      <w:r w:rsidRPr="00264864">
        <w:rPr>
          <w:b/>
          <w:i/>
          <w:iCs/>
          <w:sz w:val="24"/>
          <w:szCs w:val="24"/>
        </w:rPr>
        <w:t>' non impedisce che per la medesima condotta una persona possa essere processata e/o condannata due volte.</w:t>
      </w:r>
      <w:r w:rsidRPr="00D647C3">
        <w:rPr>
          <w:i/>
          <w:iCs/>
          <w:sz w:val="24"/>
          <w:szCs w:val="24"/>
        </w:rPr>
        <w:t xml:space="preserve"> </w:t>
      </w:r>
      <w:r w:rsidRPr="005F09B1">
        <w:rPr>
          <w:b/>
          <w:i/>
          <w:iCs/>
          <w:sz w:val="24"/>
          <w:szCs w:val="24"/>
        </w:rPr>
        <w:t xml:space="preserve">Di conseguenza, chiosa sul punto la Corte EDU, l'articolo 4 del Protocollo n. 7 deve essere interpretato nel senso che il reato </w:t>
      </w:r>
      <w:proofErr w:type="spellStart"/>
      <w:r w:rsidRPr="005F09B1">
        <w:rPr>
          <w:b/>
          <w:i/>
          <w:iCs/>
          <w:sz w:val="24"/>
          <w:szCs w:val="24"/>
        </w:rPr>
        <w:t>e'</w:t>
      </w:r>
      <w:proofErr w:type="spellEnd"/>
      <w:r w:rsidRPr="005F09B1">
        <w:rPr>
          <w:b/>
          <w:i/>
          <w:iCs/>
          <w:sz w:val="24"/>
          <w:szCs w:val="24"/>
        </w:rPr>
        <w:t xml:space="preserve"> il medesimo se i fatti che lo integrano sono identici oppure sono sostanzialmente gli stessi</w:t>
      </w:r>
      <w:r w:rsidR="00264864">
        <w:rPr>
          <w:b/>
          <w:i/>
          <w:iCs/>
          <w:sz w:val="24"/>
          <w:szCs w:val="24"/>
        </w:rPr>
        <w:t>.</w:t>
      </w:r>
      <w:r w:rsidRPr="005F09B1">
        <w:rPr>
          <w:b/>
          <w:i/>
          <w:iCs/>
          <w:sz w:val="24"/>
          <w:szCs w:val="24"/>
        </w:rPr>
        <w:t>”</w:t>
      </w:r>
    </w:p>
    <w:p w14:paraId="00A41060" w14:textId="77777777" w:rsidR="00C84044" w:rsidRPr="00D647C3" w:rsidRDefault="00C84044" w:rsidP="00C84044">
      <w:pPr>
        <w:pStyle w:val="Paragrafoelenco"/>
        <w:spacing w:line="240" w:lineRule="auto"/>
        <w:ind w:left="567" w:right="849"/>
        <w:jc w:val="both"/>
        <w:rPr>
          <w:i/>
          <w:iCs/>
          <w:sz w:val="24"/>
          <w:szCs w:val="24"/>
        </w:rPr>
      </w:pPr>
    </w:p>
    <w:p w14:paraId="2574A8F7" w14:textId="0B62477E" w:rsidR="000F2564" w:rsidRPr="00D647C3" w:rsidRDefault="000F2564" w:rsidP="00C84044">
      <w:pPr>
        <w:pStyle w:val="Paragrafoelenco"/>
        <w:numPr>
          <w:ilvl w:val="0"/>
          <w:numId w:val="8"/>
        </w:numPr>
        <w:spacing w:line="360" w:lineRule="auto"/>
        <w:ind w:left="567" w:right="-1" w:hanging="283"/>
        <w:jc w:val="both"/>
        <w:rPr>
          <w:b/>
          <w:bCs/>
          <w:sz w:val="24"/>
          <w:szCs w:val="24"/>
        </w:rPr>
      </w:pPr>
      <w:r w:rsidRPr="00D647C3">
        <w:rPr>
          <w:b/>
          <w:bCs/>
          <w:sz w:val="24"/>
          <w:szCs w:val="24"/>
        </w:rPr>
        <w:t xml:space="preserve">La Corte di Cassazione – Terza Sezione Penale – con la sentenza n. </w:t>
      </w:r>
      <w:r>
        <w:rPr>
          <w:b/>
          <w:bCs/>
          <w:sz w:val="24"/>
          <w:szCs w:val="24"/>
        </w:rPr>
        <w:t>4439</w:t>
      </w:r>
      <w:r w:rsidRPr="00D647C3">
        <w:rPr>
          <w:b/>
          <w:bCs/>
          <w:sz w:val="24"/>
          <w:szCs w:val="24"/>
        </w:rPr>
        <w:t xml:space="preserve"> del 0</w:t>
      </w:r>
      <w:r>
        <w:rPr>
          <w:b/>
          <w:bCs/>
          <w:sz w:val="24"/>
          <w:szCs w:val="24"/>
        </w:rPr>
        <w:t xml:space="preserve">4 </w:t>
      </w:r>
      <w:r w:rsidRPr="00D647C3">
        <w:rPr>
          <w:b/>
          <w:bCs/>
          <w:sz w:val="24"/>
          <w:szCs w:val="24"/>
        </w:rPr>
        <w:t>febbraio 202</w:t>
      </w:r>
      <w:r>
        <w:rPr>
          <w:b/>
          <w:bCs/>
          <w:sz w:val="24"/>
          <w:szCs w:val="24"/>
        </w:rPr>
        <w:t>1</w:t>
      </w:r>
      <w:r w:rsidRPr="00D647C3">
        <w:rPr>
          <w:b/>
          <w:bCs/>
          <w:sz w:val="24"/>
          <w:szCs w:val="24"/>
        </w:rPr>
        <w:t xml:space="preserve"> </w:t>
      </w:r>
      <w:r>
        <w:rPr>
          <w:b/>
          <w:bCs/>
          <w:sz w:val="24"/>
          <w:szCs w:val="24"/>
        </w:rPr>
        <w:t xml:space="preserve">sempre </w:t>
      </w:r>
      <w:r w:rsidRPr="00D647C3">
        <w:rPr>
          <w:b/>
          <w:bCs/>
          <w:sz w:val="24"/>
          <w:szCs w:val="24"/>
        </w:rPr>
        <w:t xml:space="preserve">sull’argomento del </w:t>
      </w:r>
      <w:r w:rsidRPr="00D647C3">
        <w:rPr>
          <w:b/>
          <w:bCs/>
          <w:i/>
          <w:iCs/>
          <w:sz w:val="24"/>
          <w:szCs w:val="24"/>
        </w:rPr>
        <w:t>ne bis in idem</w:t>
      </w:r>
      <w:r w:rsidRPr="00D647C3">
        <w:rPr>
          <w:b/>
          <w:bCs/>
          <w:sz w:val="24"/>
          <w:szCs w:val="24"/>
        </w:rPr>
        <w:t xml:space="preserve"> ha precisato quanto segue: </w:t>
      </w:r>
    </w:p>
    <w:p w14:paraId="4B4CE612" w14:textId="42EDE57C" w:rsidR="000F2564" w:rsidRPr="0093182E" w:rsidRDefault="000F2564" w:rsidP="00C84044">
      <w:pPr>
        <w:spacing w:line="240" w:lineRule="auto"/>
        <w:ind w:left="567" w:right="849"/>
        <w:contextualSpacing/>
        <w:jc w:val="both"/>
        <w:rPr>
          <w:b/>
          <w:bCs/>
          <w:i/>
          <w:iCs/>
          <w:sz w:val="24"/>
          <w:szCs w:val="24"/>
        </w:rPr>
      </w:pPr>
      <w:r>
        <w:rPr>
          <w:i/>
          <w:iCs/>
          <w:sz w:val="24"/>
          <w:szCs w:val="24"/>
        </w:rPr>
        <w:lastRenderedPageBreak/>
        <w:t>“</w:t>
      </w:r>
      <w:proofErr w:type="spellStart"/>
      <w:r w:rsidRPr="000F2564">
        <w:rPr>
          <w:i/>
          <w:iCs/>
          <w:sz w:val="24"/>
          <w:szCs w:val="24"/>
        </w:rPr>
        <w:t>Cosi'</w:t>
      </w:r>
      <w:proofErr w:type="spellEnd"/>
      <w:r w:rsidRPr="000F2564">
        <w:rPr>
          <w:i/>
          <w:iCs/>
          <w:sz w:val="24"/>
          <w:szCs w:val="24"/>
        </w:rPr>
        <w:t xml:space="preserve"> ricapitolati gli approdi della giurisprudenza sovranazionale, la Corte costituzionale ha messo in luce la </w:t>
      </w:r>
      <w:proofErr w:type="spellStart"/>
      <w:r w:rsidRPr="000F2564">
        <w:rPr>
          <w:i/>
          <w:iCs/>
          <w:sz w:val="24"/>
          <w:szCs w:val="24"/>
        </w:rPr>
        <w:t>diversita'</w:t>
      </w:r>
      <w:proofErr w:type="spellEnd"/>
      <w:r w:rsidRPr="000F2564">
        <w:rPr>
          <w:i/>
          <w:iCs/>
          <w:sz w:val="24"/>
          <w:szCs w:val="24"/>
        </w:rPr>
        <w:t xml:space="preserve"> del caso sottoposto al suo scrutinio, </w:t>
      </w:r>
      <w:proofErr w:type="spellStart"/>
      <w:r w:rsidRPr="000F2564">
        <w:rPr>
          <w:i/>
          <w:iCs/>
          <w:sz w:val="24"/>
          <w:szCs w:val="24"/>
        </w:rPr>
        <w:t>perche</w:t>
      </w:r>
      <w:proofErr w:type="spellEnd"/>
      <w:r w:rsidRPr="000F2564">
        <w:rPr>
          <w:i/>
          <w:iCs/>
          <w:sz w:val="24"/>
          <w:szCs w:val="24"/>
        </w:rPr>
        <w:t xml:space="preserve">', secondo il remittente, </w:t>
      </w:r>
      <w:r w:rsidRPr="005F09B1">
        <w:rPr>
          <w:b/>
          <w:i/>
          <w:iCs/>
          <w:sz w:val="24"/>
          <w:szCs w:val="24"/>
        </w:rPr>
        <w:t xml:space="preserve">vi sarebbe una radicale </w:t>
      </w:r>
      <w:proofErr w:type="spellStart"/>
      <w:r w:rsidRPr="005F09B1">
        <w:rPr>
          <w:b/>
          <w:i/>
          <w:iCs/>
          <w:sz w:val="24"/>
          <w:szCs w:val="24"/>
        </w:rPr>
        <w:t>contrarieta'</w:t>
      </w:r>
      <w:proofErr w:type="spellEnd"/>
      <w:r w:rsidRPr="005F09B1">
        <w:rPr>
          <w:b/>
          <w:i/>
          <w:iCs/>
          <w:sz w:val="24"/>
          <w:szCs w:val="24"/>
        </w:rPr>
        <w:t xml:space="preserve"> al ne bis in idem dell'attuale sistema di "doppio binario" sanzionatorio e procedimentale</w:t>
      </w:r>
      <w:r w:rsidRPr="000F2564">
        <w:rPr>
          <w:i/>
          <w:iCs/>
          <w:sz w:val="24"/>
          <w:szCs w:val="24"/>
        </w:rPr>
        <w:t xml:space="preserve">, </w:t>
      </w:r>
      <w:proofErr w:type="spellStart"/>
      <w:r w:rsidRPr="000F2564">
        <w:rPr>
          <w:i/>
          <w:iCs/>
          <w:sz w:val="24"/>
          <w:szCs w:val="24"/>
        </w:rPr>
        <w:t>cosi'</w:t>
      </w:r>
      <w:proofErr w:type="spellEnd"/>
      <w:r w:rsidRPr="000F2564">
        <w:rPr>
          <w:i/>
          <w:iCs/>
          <w:sz w:val="24"/>
          <w:szCs w:val="24"/>
        </w:rPr>
        <w:t xml:space="preserve"> come previsto in astratto dalla legislazione italiana in materia di omesso versamento di IVA; </w:t>
      </w:r>
      <w:r w:rsidRPr="0093182E">
        <w:rPr>
          <w:b/>
          <w:bCs/>
          <w:i/>
          <w:iCs/>
          <w:sz w:val="24"/>
          <w:szCs w:val="24"/>
        </w:rPr>
        <w:t xml:space="preserve">con la conseguenza che tale principio sarebbe sempre violato </w:t>
      </w:r>
      <w:proofErr w:type="spellStart"/>
      <w:r w:rsidRPr="0093182E">
        <w:rPr>
          <w:b/>
          <w:bCs/>
          <w:i/>
          <w:iCs/>
          <w:sz w:val="24"/>
          <w:szCs w:val="24"/>
        </w:rPr>
        <w:t>allorche</w:t>
      </w:r>
      <w:proofErr w:type="spellEnd"/>
      <w:r w:rsidRPr="0093182E">
        <w:rPr>
          <w:b/>
          <w:bCs/>
          <w:i/>
          <w:iCs/>
          <w:sz w:val="24"/>
          <w:szCs w:val="24"/>
        </w:rPr>
        <w:t xml:space="preserve">' il contribuente, </w:t>
      </w:r>
      <w:proofErr w:type="spellStart"/>
      <w:r w:rsidRPr="0093182E">
        <w:rPr>
          <w:b/>
          <w:bCs/>
          <w:i/>
          <w:iCs/>
          <w:sz w:val="24"/>
          <w:szCs w:val="24"/>
        </w:rPr>
        <w:t>gia'</w:t>
      </w:r>
      <w:proofErr w:type="spellEnd"/>
      <w:r w:rsidRPr="0093182E">
        <w:rPr>
          <w:b/>
          <w:bCs/>
          <w:i/>
          <w:iCs/>
          <w:sz w:val="24"/>
          <w:szCs w:val="24"/>
        </w:rPr>
        <w:t xml:space="preserve"> definitivamente sanzionato in via amministrativa, per la medesima violazione sia anche sottoposto a un procedimento penale: una conclusione che, nella sua </w:t>
      </w:r>
      <w:proofErr w:type="spellStart"/>
      <w:r w:rsidRPr="0093182E">
        <w:rPr>
          <w:b/>
          <w:bCs/>
          <w:i/>
          <w:iCs/>
          <w:sz w:val="24"/>
          <w:szCs w:val="24"/>
        </w:rPr>
        <w:t>radicalita'</w:t>
      </w:r>
      <w:proofErr w:type="spellEnd"/>
      <w:r w:rsidRPr="0093182E">
        <w:rPr>
          <w:b/>
          <w:bCs/>
          <w:i/>
          <w:iCs/>
          <w:sz w:val="24"/>
          <w:szCs w:val="24"/>
        </w:rPr>
        <w:t>, si pone in contrasto con l'indicato orientamento della giurisprudenza sovranazionale.</w:t>
      </w:r>
    </w:p>
    <w:p w14:paraId="0E11C606" w14:textId="66E7549C" w:rsidR="00D647C3" w:rsidRPr="0093182E" w:rsidRDefault="000F2564" w:rsidP="00C84044">
      <w:pPr>
        <w:spacing w:line="240" w:lineRule="auto"/>
        <w:ind w:left="567" w:right="849"/>
        <w:contextualSpacing/>
        <w:jc w:val="both"/>
        <w:rPr>
          <w:b/>
          <w:bCs/>
          <w:i/>
          <w:iCs/>
          <w:sz w:val="24"/>
          <w:szCs w:val="24"/>
        </w:rPr>
      </w:pPr>
      <w:r w:rsidRPr="0093182E">
        <w:rPr>
          <w:b/>
          <w:bCs/>
          <w:i/>
          <w:iCs/>
          <w:sz w:val="24"/>
          <w:szCs w:val="24"/>
        </w:rPr>
        <w:t xml:space="preserve">Su questa linea, d'altronde, </w:t>
      </w:r>
      <w:proofErr w:type="spellStart"/>
      <w:r w:rsidRPr="0093182E">
        <w:rPr>
          <w:b/>
          <w:bCs/>
          <w:i/>
          <w:iCs/>
          <w:sz w:val="24"/>
          <w:szCs w:val="24"/>
        </w:rPr>
        <w:t>e'</w:t>
      </w:r>
      <w:proofErr w:type="spellEnd"/>
      <w:r w:rsidRPr="0093182E">
        <w:rPr>
          <w:b/>
          <w:bCs/>
          <w:i/>
          <w:iCs/>
          <w:sz w:val="24"/>
          <w:szCs w:val="24"/>
        </w:rPr>
        <w:t xml:space="preserve"> allineata la </w:t>
      </w:r>
      <w:proofErr w:type="spellStart"/>
      <w:r w:rsidRPr="0093182E">
        <w:rPr>
          <w:b/>
          <w:bCs/>
          <w:i/>
          <w:iCs/>
          <w:sz w:val="24"/>
          <w:szCs w:val="24"/>
        </w:rPr>
        <w:t>piu'</w:t>
      </w:r>
      <w:proofErr w:type="spellEnd"/>
      <w:r w:rsidRPr="0093182E">
        <w:rPr>
          <w:b/>
          <w:bCs/>
          <w:i/>
          <w:iCs/>
          <w:sz w:val="24"/>
          <w:szCs w:val="24"/>
        </w:rPr>
        <w:t xml:space="preserve"> recente giurisprudenza di questa Sezione, la quale ha affermato il principio secondo cui non sussiste la violazione del ne bis in idem convenzionale nel caso della irrogazione definitiva di una sanzione formalmente amministrativa, della quale venga riconosciuta la natura sostanzialmente penale, ai sensi dell'articolo 4 Protocollo n. 7 CEDU, come interpretato dalla Corte Europea dei diritti dell'uomo nelle cause "Grande Stevens e altri contro Italia" del 4 marzo 2014, e "</w:t>
      </w:r>
      <w:proofErr w:type="spellStart"/>
      <w:r w:rsidRPr="0093182E">
        <w:rPr>
          <w:b/>
          <w:bCs/>
          <w:i/>
          <w:iCs/>
          <w:sz w:val="24"/>
          <w:szCs w:val="24"/>
        </w:rPr>
        <w:t>Nykanen</w:t>
      </w:r>
      <w:proofErr w:type="spellEnd"/>
      <w:r w:rsidRPr="0093182E">
        <w:rPr>
          <w:b/>
          <w:bCs/>
          <w:i/>
          <w:iCs/>
          <w:sz w:val="24"/>
          <w:szCs w:val="24"/>
        </w:rPr>
        <w:t xml:space="preserve"> contro Finlandia" del 20 maggio 2014, per il medesimo fatto per il quale vi sia stata condanna a sanzione penale, quando tra il procedimento amministrativo e quello penale sussista una connessione sostanziale e temporale sufficientemente stretta, tale che le due sanzioni siano parte di un unico sistema, secondo il criterio dettato dalla suddetta Corte nella decisione "A. e B. contro Norvegia" del 15 novembre 2016 (Sez. 3, n. 5934 del 12/09/2018 - </w:t>
      </w:r>
      <w:proofErr w:type="spellStart"/>
      <w:r w:rsidRPr="0093182E">
        <w:rPr>
          <w:b/>
          <w:bCs/>
          <w:i/>
          <w:iCs/>
          <w:sz w:val="24"/>
          <w:szCs w:val="24"/>
        </w:rPr>
        <w:t>dep</w:t>
      </w:r>
      <w:proofErr w:type="spellEnd"/>
      <w:r w:rsidRPr="0093182E">
        <w:rPr>
          <w:b/>
          <w:bCs/>
          <w:i/>
          <w:iCs/>
          <w:sz w:val="24"/>
          <w:szCs w:val="24"/>
        </w:rPr>
        <w:t xml:space="preserve">. 07/02/2019, Giannino, Rv. 275833-04; Sez. 3, n. 6993 del 22/09/2017 - </w:t>
      </w:r>
      <w:proofErr w:type="spellStart"/>
      <w:r w:rsidRPr="0093182E">
        <w:rPr>
          <w:b/>
          <w:bCs/>
          <w:i/>
          <w:iCs/>
          <w:sz w:val="24"/>
          <w:szCs w:val="24"/>
        </w:rPr>
        <w:t>dep</w:t>
      </w:r>
      <w:proofErr w:type="spellEnd"/>
      <w:r w:rsidRPr="0093182E">
        <w:rPr>
          <w:b/>
          <w:bCs/>
          <w:i/>
          <w:iCs/>
          <w:sz w:val="24"/>
          <w:szCs w:val="24"/>
        </w:rPr>
        <w:t>. 14/02/2018, Servello, Rv. 272588).”</w:t>
      </w:r>
    </w:p>
    <w:p w14:paraId="799E6FE2" w14:textId="77777777" w:rsidR="00D647C3" w:rsidRDefault="00D647C3" w:rsidP="00D647C3">
      <w:pPr>
        <w:spacing w:line="360" w:lineRule="auto"/>
        <w:ind w:right="-1"/>
        <w:jc w:val="both"/>
        <w:rPr>
          <w:b/>
          <w:bCs/>
          <w:sz w:val="24"/>
          <w:szCs w:val="24"/>
        </w:rPr>
      </w:pPr>
    </w:p>
    <w:p w14:paraId="3557FE4C" w14:textId="77777777" w:rsidR="000F2564" w:rsidRDefault="000F2564" w:rsidP="00D647C3">
      <w:pPr>
        <w:spacing w:line="360" w:lineRule="auto"/>
        <w:ind w:right="-1"/>
        <w:jc w:val="both"/>
        <w:rPr>
          <w:b/>
          <w:bCs/>
          <w:sz w:val="24"/>
          <w:szCs w:val="24"/>
        </w:rPr>
      </w:pPr>
    </w:p>
    <w:p w14:paraId="63F322D7" w14:textId="77777777" w:rsidR="000F2564" w:rsidRDefault="000F2564" w:rsidP="00D647C3">
      <w:pPr>
        <w:spacing w:line="360" w:lineRule="auto"/>
        <w:ind w:right="-1"/>
        <w:jc w:val="both"/>
        <w:rPr>
          <w:b/>
          <w:bCs/>
          <w:sz w:val="24"/>
          <w:szCs w:val="24"/>
        </w:rPr>
      </w:pPr>
    </w:p>
    <w:p w14:paraId="046C0533" w14:textId="77777777" w:rsidR="000F2564" w:rsidRDefault="000F2564" w:rsidP="00D647C3">
      <w:pPr>
        <w:spacing w:line="360" w:lineRule="auto"/>
        <w:ind w:right="-1"/>
        <w:jc w:val="both"/>
        <w:rPr>
          <w:b/>
          <w:bCs/>
          <w:sz w:val="24"/>
          <w:szCs w:val="24"/>
        </w:rPr>
      </w:pPr>
    </w:p>
    <w:p w14:paraId="6B2FBAF3" w14:textId="77777777" w:rsidR="000F2564" w:rsidRDefault="000F2564" w:rsidP="00D647C3">
      <w:pPr>
        <w:spacing w:line="360" w:lineRule="auto"/>
        <w:ind w:right="-1"/>
        <w:jc w:val="both"/>
        <w:rPr>
          <w:b/>
          <w:bCs/>
          <w:sz w:val="24"/>
          <w:szCs w:val="24"/>
        </w:rPr>
      </w:pPr>
    </w:p>
    <w:p w14:paraId="7BFBB377" w14:textId="77777777" w:rsidR="000F2564" w:rsidRDefault="000F2564" w:rsidP="00D647C3">
      <w:pPr>
        <w:spacing w:line="360" w:lineRule="auto"/>
        <w:ind w:right="-1"/>
        <w:jc w:val="both"/>
        <w:rPr>
          <w:b/>
          <w:bCs/>
          <w:sz w:val="24"/>
          <w:szCs w:val="24"/>
        </w:rPr>
      </w:pPr>
    </w:p>
    <w:p w14:paraId="411D0700" w14:textId="77777777" w:rsidR="000F2564" w:rsidRDefault="000F2564" w:rsidP="00D647C3">
      <w:pPr>
        <w:spacing w:line="360" w:lineRule="auto"/>
        <w:ind w:right="-1"/>
        <w:jc w:val="both"/>
        <w:rPr>
          <w:b/>
          <w:bCs/>
          <w:sz w:val="24"/>
          <w:szCs w:val="24"/>
        </w:rPr>
      </w:pPr>
    </w:p>
    <w:p w14:paraId="1E4591CF" w14:textId="77777777" w:rsidR="000F2564" w:rsidRDefault="000F2564" w:rsidP="00D647C3">
      <w:pPr>
        <w:spacing w:line="360" w:lineRule="auto"/>
        <w:ind w:right="-1"/>
        <w:jc w:val="both"/>
        <w:rPr>
          <w:b/>
          <w:bCs/>
          <w:sz w:val="24"/>
          <w:szCs w:val="24"/>
        </w:rPr>
      </w:pPr>
    </w:p>
    <w:p w14:paraId="48A25CE5" w14:textId="77777777" w:rsidR="000F2564" w:rsidRDefault="000F2564" w:rsidP="00D647C3">
      <w:pPr>
        <w:spacing w:line="360" w:lineRule="auto"/>
        <w:ind w:right="-1"/>
        <w:jc w:val="both"/>
        <w:rPr>
          <w:b/>
          <w:bCs/>
          <w:sz w:val="24"/>
          <w:szCs w:val="24"/>
        </w:rPr>
      </w:pPr>
    </w:p>
    <w:p w14:paraId="22C4651A" w14:textId="77777777" w:rsidR="000F2564" w:rsidRDefault="000F2564" w:rsidP="00D647C3">
      <w:pPr>
        <w:spacing w:line="360" w:lineRule="auto"/>
        <w:ind w:right="-1"/>
        <w:jc w:val="both"/>
        <w:rPr>
          <w:b/>
          <w:bCs/>
          <w:sz w:val="24"/>
          <w:szCs w:val="24"/>
        </w:rPr>
      </w:pPr>
    </w:p>
    <w:p w14:paraId="2CB73A76" w14:textId="77777777" w:rsidR="00C84044" w:rsidRDefault="00C84044" w:rsidP="00D647C3">
      <w:pPr>
        <w:spacing w:line="360" w:lineRule="auto"/>
        <w:ind w:right="-1"/>
        <w:jc w:val="both"/>
        <w:rPr>
          <w:b/>
          <w:bCs/>
          <w:sz w:val="24"/>
          <w:szCs w:val="24"/>
        </w:rPr>
      </w:pPr>
    </w:p>
    <w:p w14:paraId="23CAB2B0" w14:textId="77777777" w:rsidR="00C84044" w:rsidRDefault="00C84044" w:rsidP="00D647C3">
      <w:pPr>
        <w:spacing w:line="360" w:lineRule="auto"/>
        <w:ind w:right="-1"/>
        <w:jc w:val="both"/>
        <w:rPr>
          <w:b/>
          <w:bCs/>
          <w:sz w:val="24"/>
          <w:szCs w:val="24"/>
        </w:rPr>
      </w:pPr>
    </w:p>
    <w:p w14:paraId="749EAECC" w14:textId="77777777" w:rsidR="00C84044" w:rsidRPr="00D647C3" w:rsidRDefault="00C84044" w:rsidP="00D647C3">
      <w:pPr>
        <w:spacing w:line="360" w:lineRule="auto"/>
        <w:ind w:right="-1"/>
        <w:jc w:val="both"/>
        <w:rPr>
          <w:b/>
          <w:bCs/>
          <w:sz w:val="24"/>
          <w:szCs w:val="24"/>
        </w:rPr>
      </w:pPr>
    </w:p>
    <w:p w14:paraId="44C81059" w14:textId="684B4A78" w:rsidR="00A82345" w:rsidRPr="005A1084" w:rsidRDefault="00A82345" w:rsidP="00D44BD1">
      <w:pPr>
        <w:spacing w:line="360" w:lineRule="auto"/>
        <w:contextualSpacing/>
        <w:jc w:val="center"/>
        <w:outlineLvl w:val="0"/>
        <w:rPr>
          <w:b/>
          <w:bCs/>
          <w:sz w:val="28"/>
          <w:szCs w:val="28"/>
          <w:highlight w:val="yellow"/>
          <w:u w:val="single"/>
        </w:rPr>
      </w:pPr>
      <w:bookmarkStart w:id="44" w:name="_Toc186711257"/>
      <w:bookmarkStart w:id="45" w:name="_Toc186717001"/>
      <w:bookmarkStart w:id="46" w:name="_Toc186793157"/>
      <w:bookmarkStart w:id="47" w:name="_Toc186808354"/>
      <w:bookmarkStart w:id="48" w:name="_Toc186993205"/>
      <w:bookmarkStart w:id="49" w:name="_Toc187062371"/>
      <w:r w:rsidRPr="005A1084">
        <w:rPr>
          <w:b/>
          <w:bCs/>
          <w:sz w:val="28"/>
          <w:szCs w:val="28"/>
          <w:highlight w:val="yellow"/>
          <w:u w:val="single"/>
        </w:rPr>
        <w:lastRenderedPageBreak/>
        <w:t>PARTE SECONDA</w:t>
      </w:r>
      <w:bookmarkEnd w:id="44"/>
      <w:bookmarkEnd w:id="45"/>
      <w:bookmarkEnd w:id="46"/>
      <w:bookmarkEnd w:id="47"/>
      <w:bookmarkEnd w:id="48"/>
      <w:bookmarkEnd w:id="49"/>
    </w:p>
    <w:p w14:paraId="584F5E3F" w14:textId="02F0A630" w:rsidR="00A82345" w:rsidRPr="00A82345" w:rsidRDefault="00A82345" w:rsidP="00D44BD1">
      <w:pPr>
        <w:spacing w:line="360" w:lineRule="auto"/>
        <w:contextualSpacing/>
        <w:jc w:val="center"/>
        <w:outlineLvl w:val="0"/>
        <w:rPr>
          <w:b/>
          <w:bCs/>
          <w:sz w:val="28"/>
          <w:szCs w:val="28"/>
        </w:rPr>
      </w:pPr>
      <w:bookmarkStart w:id="50" w:name="_Toc186711258"/>
      <w:bookmarkStart w:id="51" w:name="_Toc186717002"/>
      <w:bookmarkStart w:id="52" w:name="_Toc186793158"/>
      <w:bookmarkStart w:id="53" w:name="_Toc186808355"/>
      <w:bookmarkStart w:id="54" w:name="_Toc186993206"/>
      <w:bookmarkStart w:id="55" w:name="_Toc187062372"/>
      <w:r w:rsidRPr="005A1084">
        <w:rPr>
          <w:b/>
          <w:bCs/>
          <w:sz w:val="28"/>
          <w:szCs w:val="28"/>
          <w:highlight w:val="yellow"/>
        </w:rPr>
        <w:t>RECENTE LEGISLAZIONE</w:t>
      </w:r>
      <w:bookmarkEnd w:id="50"/>
      <w:bookmarkEnd w:id="51"/>
      <w:bookmarkEnd w:id="52"/>
      <w:bookmarkEnd w:id="53"/>
      <w:bookmarkEnd w:id="54"/>
      <w:bookmarkEnd w:id="55"/>
      <w:r>
        <w:rPr>
          <w:b/>
          <w:bCs/>
          <w:sz w:val="28"/>
          <w:szCs w:val="28"/>
        </w:rPr>
        <w:t xml:space="preserve"> </w:t>
      </w:r>
      <w:r w:rsidRPr="00A82345">
        <w:rPr>
          <w:b/>
          <w:bCs/>
          <w:sz w:val="28"/>
          <w:szCs w:val="28"/>
        </w:rPr>
        <w:t xml:space="preserve"> </w:t>
      </w:r>
    </w:p>
    <w:p w14:paraId="4576DF74" w14:textId="79DE8269" w:rsidR="00113A38" w:rsidRDefault="00A66FB1" w:rsidP="00A66FB1">
      <w:pPr>
        <w:spacing w:line="360" w:lineRule="auto"/>
        <w:ind w:right="-1"/>
        <w:jc w:val="both"/>
        <w:rPr>
          <w:b/>
          <w:bCs/>
          <w:sz w:val="24"/>
          <w:szCs w:val="24"/>
        </w:rPr>
      </w:pPr>
      <w:r>
        <w:rPr>
          <w:b/>
          <w:bCs/>
          <w:sz w:val="24"/>
          <w:szCs w:val="24"/>
        </w:rPr>
        <w:t xml:space="preserve">Al tempo stesso, con la recente riforma fiscale, il legislatore è intervenuto per </w:t>
      </w:r>
      <w:r w:rsidR="00013B54">
        <w:rPr>
          <w:b/>
          <w:bCs/>
          <w:sz w:val="24"/>
          <w:szCs w:val="24"/>
        </w:rPr>
        <w:t xml:space="preserve">tentare di </w:t>
      </w:r>
      <w:r>
        <w:rPr>
          <w:b/>
          <w:bCs/>
          <w:sz w:val="24"/>
          <w:szCs w:val="24"/>
        </w:rPr>
        <w:t xml:space="preserve">risolvere il problema del ne bis in idem con le seguenti </w:t>
      </w:r>
      <w:r w:rsidR="00013B54">
        <w:rPr>
          <w:b/>
          <w:bCs/>
          <w:sz w:val="24"/>
          <w:szCs w:val="24"/>
        </w:rPr>
        <w:t xml:space="preserve">disposizioni </w:t>
      </w:r>
      <w:r>
        <w:rPr>
          <w:b/>
          <w:bCs/>
          <w:sz w:val="24"/>
          <w:szCs w:val="24"/>
        </w:rPr>
        <w:t>normative:</w:t>
      </w:r>
    </w:p>
    <w:p w14:paraId="389CADFA" w14:textId="77777777" w:rsidR="00C84044" w:rsidRDefault="00C84044" w:rsidP="00A66FB1">
      <w:pPr>
        <w:spacing w:line="360" w:lineRule="auto"/>
        <w:ind w:right="-1"/>
        <w:jc w:val="both"/>
        <w:rPr>
          <w:b/>
          <w:bCs/>
          <w:sz w:val="24"/>
          <w:szCs w:val="24"/>
        </w:rPr>
      </w:pPr>
    </w:p>
    <w:p w14:paraId="6B4BB7BB" w14:textId="2CCB3E99" w:rsidR="00A66FB1" w:rsidRPr="00A66FB1" w:rsidRDefault="00A66FB1" w:rsidP="00A66FB1">
      <w:pPr>
        <w:pStyle w:val="Paragrafoelenco"/>
        <w:numPr>
          <w:ilvl w:val="0"/>
          <w:numId w:val="6"/>
        </w:numPr>
        <w:spacing w:line="360" w:lineRule="auto"/>
        <w:ind w:left="426" w:right="-1" w:hanging="426"/>
        <w:jc w:val="both"/>
        <w:rPr>
          <w:sz w:val="24"/>
          <w:szCs w:val="24"/>
        </w:rPr>
      </w:pPr>
      <w:bookmarkStart w:id="56" w:name="_Hlk186542630"/>
      <w:r>
        <w:rPr>
          <w:b/>
          <w:bCs/>
          <w:sz w:val="24"/>
          <w:szCs w:val="24"/>
        </w:rPr>
        <w:t>Art</w:t>
      </w:r>
      <w:r w:rsidR="00A174F9">
        <w:rPr>
          <w:b/>
          <w:bCs/>
          <w:sz w:val="24"/>
          <w:szCs w:val="24"/>
        </w:rPr>
        <w:t>icolo</w:t>
      </w:r>
      <w:r>
        <w:rPr>
          <w:b/>
          <w:bCs/>
          <w:sz w:val="24"/>
          <w:szCs w:val="24"/>
        </w:rPr>
        <w:t xml:space="preserve"> 20 del Decreto Legislativo n. 74 del 10 marzo 2000, </w:t>
      </w:r>
      <w:r w:rsidRPr="00A66FB1">
        <w:rPr>
          <w:sz w:val="24"/>
          <w:szCs w:val="24"/>
        </w:rPr>
        <w:t xml:space="preserve">con le modifiche previste dall’art. 1, comma 1, lettera i), </w:t>
      </w:r>
      <w:bookmarkStart w:id="57" w:name="_Hlk186542620"/>
      <w:r w:rsidRPr="00A66FB1">
        <w:rPr>
          <w:sz w:val="24"/>
          <w:szCs w:val="24"/>
        </w:rPr>
        <w:t xml:space="preserve">Decreto Legislativo </w:t>
      </w:r>
      <w:bookmarkEnd w:id="57"/>
      <w:r w:rsidRPr="00A66FB1">
        <w:rPr>
          <w:sz w:val="24"/>
          <w:szCs w:val="24"/>
        </w:rPr>
        <w:t>n. 87 de 14/06/2024, con decorrenza dal 29/06/2024:</w:t>
      </w:r>
    </w:p>
    <w:bookmarkEnd w:id="56"/>
    <w:p w14:paraId="194D1936" w14:textId="77777777" w:rsidR="00A76EFE" w:rsidRPr="00D647C3" w:rsidRDefault="00A66FB1" w:rsidP="00A76EFE">
      <w:pPr>
        <w:pStyle w:val="Paragrafoelenco"/>
        <w:spacing w:line="360" w:lineRule="auto"/>
        <w:ind w:left="426" w:right="-1"/>
        <w:jc w:val="center"/>
        <w:rPr>
          <w:i/>
          <w:iCs/>
          <w:sz w:val="24"/>
          <w:szCs w:val="24"/>
        </w:rPr>
      </w:pPr>
      <w:r w:rsidRPr="00D647C3">
        <w:rPr>
          <w:b/>
          <w:bCs/>
          <w:i/>
          <w:iCs/>
          <w:sz w:val="24"/>
          <w:szCs w:val="24"/>
        </w:rPr>
        <w:t>“</w:t>
      </w:r>
      <w:r w:rsidR="00A76EFE" w:rsidRPr="0093182E">
        <w:rPr>
          <w:b/>
          <w:bCs/>
          <w:i/>
          <w:iCs/>
          <w:sz w:val="24"/>
          <w:szCs w:val="24"/>
        </w:rPr>
        <w:t>Rapporti tra procedimento penale e processo tributario</w:t>
      </w:r>
    </w:p>
    <w:p w14:paraId="76EBF3D4" w14:textId="77777777" w:rsidR="00A76EFE" w:rsidRPr="00D647C3" w:rsidRDefault="00EC1F0C" w:rsidP="00A76EFE">
      <w:pPr>
        <w:pStyle w:val="Paragrafoelenco"/>
        <w:spacing w:line="360" w:lineRule="auto"/>
        <w:ind w:left="426" w:right="-1"/>
        <w:jc w:val="both"/>
        <w:rPr>
          <w:i/>
          <w:iCs/>
          <w:sz w:val="24"/>
          <w:szCs w:val="24"/>
        </w:rPr>
      </w:pPr>
      <w:r>
        <w:rPr>
          <w:i/>
          <w:iCs/>
          <w:sz w:val="24"/>
          <w:szCs w:val="24"/>
        </w:rPr>
        <w:pict w14:anchorId="67B4AC91">
          <v:rect id="_x0000_i1025" style="width:0;height:1.5pt" o:hralign="center" o:hrstd="t" o:hr="t" fillcolor="#a0a0a0" stroked="f"/>
        </w:pict>
      </w:r>
    </w:p>
    <w:p w14:paraId="54F605B3" w14:textId="10A81344" w:rsidR="00A76EFE" w:rsidRPr="00D647C3" w:rsidRDefault="00A76EFE" w:rsidP="00A76EFE">
      <w:pPr>
        <w:pStyle w:val="Paragrafoelenco"/>
        <w:spacing w:line="360" w:lineRule="auto"/>
        <w:ind w:left="426" w:right="-1"/>
        <w:jc w:val="both"/>
        <w:rPr>
          <w:i/>
          <w:iCs/>
          <w:sz w:val="24"/>
          <w:szCs w:val="24"/>
        </w:rPr>
      </w:pPr>
      <w:r w:rsidRPr="00D647C3">
        <w:rPr>
          <w:b/>
          <w:bCs/>
          <w:i/>
          <w:iCs/>
          <w:sz w:val="24"/>
          <w:szCs w:val="24"/>
        </w:rPr>
        <w:t>1.</w:t>
      </w:r>
      <w:r w:rsidRPr="00D647C3">
        <w:rPr>
          <w:i/>
          <w:iCs/>
          <w:sz w:val="24"/>
          <w:szCs w:val="24"/>
        </w:rPr>
        <w:t xml:space="preserve"> Il procedimento amministrativo di accertamento ed il processo tributario non possono essere sospesi per la pendenza del procedimento penale avente ad oggetto i medesimi fatti o fatti dal cui accertamento comunque dipende la relativa definizione.</w:t>
      </w:r>
    </w:p>
    <w:p w14:paraId="7D457D43" w14:textId="2331144B" w:rsidR="00A76EFE" w:rsidRPr="00D647C3" w:rsidRDefault="00A76EFE" w:rsidP="00A76EFE">
      <w:pPr>
        <w:pStyle w:val="Paragrafoelenco"/>
        <w:spacing w:line="360" w:lineRule="auto"/>
        <w:ind w:left="426" w:right="-1"/>
        <w:jc w:val="both"/>
        <w:rPr>
          <w:i/>
          <w:iCs/>
          <w:sz w:val="24"/>
          <w:szCs w:val="24"/>
        </w:rPr>
      </w:pPr>
      <w:r w:rsidRPr="00D647C3">
        <w:rPr>
          <w:b/>
          <w:bCs/>
          <w:i/>
          <w:iCs/>
          <w:sz w:val="24"/>
          <w:szCs w:val="24"/>
        </w:rPr>
        <w:t>1-bis.</w:t>
      </w:r>
      <w:r w:rsidRPr="00D647C3">
        <w:rPr>
          <w:i/>
          <w:iCs/>
          <w:sz w:val="24"/>
          <w:szCs w:val="24"/>
        </w:rPr>
        <w:t xml:space="preserve"> </w:t>
      </w:r>
      <w:r w:rsidRPr="0093182E">
        <w:rPr>
          <w:b/>
          <w:bCs/>
          <w:i/>
          <w:iCs/>
          <w:sz w:val="24"/>
          <w:szCs w:val="24"/>
        </w:rPr>
        <w:t>Le sentenze rese nel processo tributario, divenute irrevocabili, e gli atti di definitivo accertamento delle imposte in sede amministrativa, anche a seguito di adesione, aventi a oggetto violazioni derivanti dai medesimi fatti per cui è stata esercitata l'azione penale, possono essere acquisiti nel processo penale ai fini della prova del fatto in essi accertato</w:t>
      </w:r>
      <w:r w:rsidRPr="00D647C3">
        <w:rPr>
          <w:i/>
          <w:iCs/>
          <w:sz w:val="24"/>
          <w:szCs w:val="24"/>
        </w:rPr>
        <w:t>.”</w:t>
      </w:r>
    </w:p>
    <w:p w14:paraId="62FDD96D" w14:textId="58AB6C9B" w:rsidR="0093182E" w:rsidRDefault="0093182E" w:rsidP="0093182E">
      <w:pPr>
        <w:pStyle w:val="Paragrafoelenco"/>
        <w:spacing w:line="360" w:lineRule="auto"/>
        <w:ind w:left="426" w:right="-1"/>
        <w:jc w:val="center"/>
        <w:rPr>
          <w:b/>
          <w:bCs/>
          <w:sz w:val="24"/>
          <w:szCs w:val="24"/>
        </w:rPr>
      </w:pPr>
      <w:r>
        <w:rPr>
          <w:b/>
          <w:bCs/>
          <w:sz w:val="24"/>
          <w:szCs w:val="24"/>
        </w:rPr>
        <w:t>****</w:t>
      </w:r>
    </w:p>
    <w:p w14:paraId="29816B8A" w14:textId="432DCED8" w:rsidR="00A66FB1" w:rsidRDefault="00A76EFE" w:rsidP="00A66FB1">
      <w:pPr>
        <w:pStyle w:val="Paragrafoelenco"/>
        <w:spacing w:line="360" w:lineRule="auto"/>
        <w:ind w:left="426" w:right="-1"/>
        <w:jc w:val="both"/>
        <w:rPr>
          <w:b/>
          <w:bCs/>
          <w:sz w:val="24"/>
          <w:szCs w:val="24"/>
        </w:rPr>
      </w:pPr>
      <w:r>
        <w:rPr>
          <w:b/>
          <w:bCs/>
          <w:sz w:val="24"/>
          <w:szCs w:val="24"/>
        </w:rPr>
        <w:t xml:space="preserve">Il presente articolo è stato abrogato dall’art. 101, comma 1, lettera z) dell’allegato al </w:t>
      </w:r>
      <w:r w:rsidRPr="00A76EFE">
        <w:rPr>
          <w:b/>
          <w:bCs/>
          <w:sz w:val="24"/>
          <w:szCs w:val="24"/>
        </w:rPr>
        <w:t xml:space="preserve">Decreto Legislativo </w:t>
      </w:r>
      <w:r>
        <w:rPr>
          <w:b/>
          <w:bCs/>
          <w:sz w:val="24"/>
          <w:szCs w:val="24"/>
        </w:rPr>
        <w:t>n. 173 del 05/11/2024, con decorrenza dall’01/01/2026</w:t>
      </w:r>
      <w:r w:rsidR="0093182E">
        <w:rPr>
          <w:b/>
          <w:bCs/>
          <w:sz w:val="24"/>
          <w:szCs w:val="24"/>
        </w:rPr>
        <w:t xml:space="preserve"> (sarà art. 97 T.U. n. 173/2024)</w:t>
      </w:r>
      <w:r>
        <w:rPr>
          <w:b/>
          <w:bCs/>
          <w:sz w:val="24"/>
          <w:szCs w:val="24"/>
        </w:rPr>
        <w:t xml:space="preserve">. </w:t>
      </w:r>
    </w:p>
    <w:p w14:paraId="4239A0EF" w14:textId="77777777" w:rsidR="00A76EFE" w:rsidRDefault="00A76EFE" w:rsidP="00A66FB1">
      <w:pPr>
        <w:pStyle w:val="Paragrafoelenco"/>
        <w:spacing w:line="360" w:lineRule="auto"/>
        <w:ind w:left="426" w:right="-1"/>
        <w:jc w:val="both"/>
        <w:rPr>
          <w:b/>
          <w:bCs/>
          <w:sz w:val="24"/>
          <w:szCs w:val="24"/>
        </w:rPr>
      </w:pPr>
    </w:p>
    <w:p w14:paraId="42BF3D7C" w14:textId="77777777" w:rsidR="00C84044" w:rsidRDefault="00C84044" w:rsidP="00A66FB1">
      <w:pPr>
        <w:pStyle w:val="Paragrafoelenco"/>
        <w:spacing w:line="360" w:lineRule="auto"/>
        <w:ind w:left="426" w:right="-1"/>
        <w:jc w:val="both"/>
        <w:rPr>
          <w:b/>
          <w:bCs/>
          <w:sz w:val="24"/>
          <w:szCs w:val="24"/>
        </w:rPr>
      </w:pPr>
    </w:p>
    <w:p w14:paraId="16F84DA3" w14:textId="738FF1FC" w:rsidR="00A76EFE" w:rsidRDefault="00A76EFE" w:rsidP="00A76EFE">
      <w:pPr>
        <w:pStyle w:val="Paragrafoelenco"/>
        <w:numPr>
          <w:ilvl w:val="0"/>
          <w:numId w:val="6"/>
        </w:numPr>
        <w:spacing w:line="360" w:lineRule="auto"/>
        <w:ind w:left="426" w:right="-1" w:hanging="426"/>
        <w:jc w:val="both"/>
        <w:rPr>
          <w:b/>
          <w:bCs/>
          <w:sz w:val="24"/>
          <w:szCs w:val="24"/>
        </w:rPr>
      </w:pPr>
      <w:r>
        <w:rPr>
          <w:b/>
          <w:bCs/>
          <w:sz w:val="24"/>
          <w:szCs w:val="24"/>
        </w:rPr>
        <w:t>Art</w:t>
      </w:r>
      <w:r w:rsidR="00A174F9">
        <w:rPr>
          <w:b/>
          <w:bCs/>
          <w:sz w:val="24"/>
          <w:szCs w:val="24"/>
        </w:rPr>
        <w:t>icolo</w:t>
      </w:r>
      <w:r>
        <w:rPr>
          <w:b/>
          <w:bCs/>
          <w:sz w:val="24"/>
          <w:szCs w:val="24"/>
        </w:rPr>
        <w:t xml:space="preserve"> 9-bis dello Statuto dei Diritti del Contribuente (Legge n. 212/2000)</w:t>
      </w:r>
    </w:p>
    <w:p w14:paraId="3D39296F" w14:textId="004C865B" w:rsidR="00A174F9" w:rsidRPr="00D647C3" w:rsidRDefault="00A174F9" w:rsidP="00A174F9">
      <w:pPr>
        <w:pStyle w:val="Paragrafoelenco"/>
        <w:spacing w:line="360" w:lineRule="auto"/>
        <w:ind w:left="426" w:right="-1"/>
        <w:jc w:val="center"/>
        <w:rPr>
          <w:i/>
          <w:iCs/>
          <w:sz w:val="24"/>
          <w:szCs w:val="24"/>
        </w:rPr>
      </w:pPr>
      <w:r w:rsidRPr="00D647C3">
        <w:rPr>
          <w:i/>
          <w:iCs/>
          <w:sz w:val="24"/>
          <w:szCs w:val="24"/>
        </w:rPr>
        <w:t>“</w:t>
      </w:r>
      <w:r w:rsidRPr="00131D3F">
        <w:rPr>
          <w:b/>
          <w:bCs/>
          <w:i/>
          <w:iCs/>
          <w:sz w:val="24"/>
          <w:szCs w:val="24"/>
        </w:rPr>
        <w:t>Divieto di bis in idem nel procedimento tributario</w:t>
      </w:r>
    </w:p>
    <w:p w14:paraId="32710D42" w14:textId="77777777" w:rsidR="00A174F9" w:rsidRPr="00D647C3" w:rsidRDefault="00EC1F0C" w:rsidP="00A174F9">
      <w:pPr>
        <w:pStyle w:val="Paragrafoelenco"/>
        <w:spacing w:line="360" w:lineRule="auto"/>
        <w:ind w:left="426" w:right="-1"/>
        <w:jc w:val="both"/>
        <w:rPr>
          <w:b/>
          <w:bCs/>
          <w:i/>
          <w:iCs/>
          <w:sz w:val="24"/>
          <w:szCs w:val="24"/>
        </w:rPr>
      </w:pPr>
      <w:r>
        <w:rPr>
          <w:b/>
          <w:bCs/>
          <w:i/>
          <w:iCs/>
          <w:sz w:val="24"/>
          <w:szCs w:val="24"/>
        </w:rPr>
        <w:pict w14:anchorId="20A035B5">
          <v:rect id="_x0000_i1026" style="width:0;height:1.5pt" o:hralign="center" o:hrstd="t" o:hr="t" fillcolor="#a0a0a0" stroked="f"/>
        </w:pict>
      </w:r>
    </w:p>
    <w:p w14:paraId="001ED3A4" w14:textId="2C6793F1" w:rsidR="00A174F9" w:rsidRPr="00D647C3" w:rsidRDefault="00A174F9" w:rsidP="00A174F9">
      <w:pPr>
        <w:pStyle w:val="Paragrafoelenco"/>
        <w:spacing w:line="360" w:lineRule="auto"/>
        <w:ind w:left="426" w:right="-1"/>
        <w:jc w:val="both"/>
        <w:rPr>
          <w:i/>
          <w:iCs/>
          <w:sz w:val="24"/>
          <w:szCs w:val="24"/>
        </w:rPr>
      </w:pPr>
      <w:r w:rsidRPr="00D647C3">
        <w:rPr>
          <w:b/>
          <w:bCs/>
          <w:i/>
          <w:iCs/>
          <w:sz w:val="24"/>
          <w:szCs w:val="24"/>
        </w:rPr>
        <w:t xml:space="preserve">1. </w:t>
      </w:r>
      <w:r w:rsidRPr="00D647C3">
        <w:rPr>
          <w:i/>
          <w:iCs/>
          <w:sz w:val="24"/>
          <w:szCs w:val="24"/>
        </w:rPr>
        <w:t>Salvo che specifiche disposizioni prevedano diversamente e ferma l'emendabilità di vizi formali e procedurali, il contribuente ha diritto a che l'amministrazione finanziaria eserciti l'azione accertativa relativamente a ciascun tributo una sola volta per ogni periodo d'imposta.”</w:t>
      </w:r>
    </w:p>
    <w:p w14:paraId="1B696E75" w14:textId="21D393FA" w:rsidR="001A6488" w:rsidRPr="001A6488" w:rsidRDefault="001A6488" w:rsidP="001A6488">
      <w:pPr>
        <w:pStyle w:val="Paragrafoelenco"/>
        <w:spacing w:after="0" w:line="360" w:lineRule="auto"/>
        <w:ind w:left="426" w:right="-1"/>
        <w:jc w:val="center"/>
        <w:rPr>
          <w:b/>
          <w:bCs/>
          <w:sz w:val="24"/>
          <w:szCs w:val="24"/>
        </w:rPr>
      </w:pPr>
      <w:r w:rsidRPr="001A6488">
        <w:rPr>
          <w:b/>
          <w:bCs/>
          <w:sz w:val="24"/>
          <w:szCs w:val="24"/>
        </w:rPr>
        <w:t>****</w:t>
      </w:r>
    </w:p>
    <w:p w14:paraId="58106FD8" w14:textId="5B792575" w:rsidR="007D43F3" w:rsidRDefault="001A6488" w:rsidP="007D43F3">
      <w:pPr>
        <w:pStyle w:val="Paragrafoelenco"/>
        <w:spacing w:after="0" w:line="360" w:lineRule="auto"/>
        <w:ind w:left="426" w:right="-1"/>
        <w:jc w:val="both"/>
        <w:rPr>
          <w:sz w:val="24"/>
          <w:szCs w:val="24"/>
        </w:rPr>
      </w:pPr>
      <w:r>
        <w:rPr>
          <w:sz w:val="24"/>
          <w:szCs w:val="24"/>
        </w:rPr>
        <w:t xml:space="preserve">A tal proposito, </w:t>
      </w:r>
      <w:r w:rsidRPr="00013B54">
        <w:rPr>
          <w:b/>
          <w:sz w:val="24"/>
          <w:szCs w:val="24"/>
        </w:rPr>
        <w:t xml:space="preserve">la </w:t>
      </w:r>
      <w:r w:rsidRPr="00013B54">
        <w:rPr>
          <w:b/>
          <w:bCs/>
          <w:sz w:val="24"/>
          <w:szCs w:val="24"/>
        </w:rPr>
        <w:t>Corte di Cassazione</w:t>
      </w:r>
      <w:r w:rsidRPr="001A6488">
        <w:rPr>
          <w:b/>
          <w:bCs/>
          <w:sz w:val="24"/>
          <w:szCs w:val="24"/>
        </w:rPr>
        <w:t xml:space="preserve"> a Sezioni Unite, con la sentenza n. 30051/2024</w:t>
      </w:r>
      <w:r>
        <w:rPr>
          <w:b/>
          <w:bCs/>
          <w:sz w:val="24"/>
          <w:szCs w:val="24"/>
        </w:rPr>
        <w:t xml:space="preserve">, </w:t>
      </w:r>
      <w:r>
        <w:rPr>
          <w:sz w:val="24"/>
          <w:szCs w:val="24"/>
        </w:rPr>
        <w:t xml:space="preserve">depositata il 21.11.2024, </w:t>
      </w:r>
      <w:r w:rsidRPr="00013B54">
        <w:rPr>
          <w:b/>
          <w:sz w:val="24"/>
          <w:szCs w:val="24"/>
        </w:rPr>
        <w:t>ha precisato</w:t>
      </w:r>
      <w:r w:rsidR="00013B54" w:rsidRPr="00013B54">
        <w:rPr>
          <w:b/>
          <w:sz w:val="24"/>
          <w:szCs w:val="24"/>
        </w:rPr>
        <w:t>, in tema di autotutela, che</w:t>
      </w:r>
      <w:r w:rsidRPr="00013B54">
        <w:rPr>
          <w:b/>
          <w:sz w:val="24"/>
          <w:szCs w:val="24"/>
        </w:rPr>
        <w:t>:</w:t>
      </w:r>
    </w:p>
    <w:p w14:paraId="351EF217" w14:textId="19C59574" w:rsidR="001A6488" w:rsidRPr="001A6488" w:rsidRDefault="001A6488" w:rsidP="001A6488">
      <w:pPr>
        <w:pStyle w:val="Paragrafoelenco"/>
        <w:spacing w:after="0" w:line="240" w:lineRule="auto"/>
        <w:ind w:left="567" w:right="849"/>
        <w:jc w:val="both"/>
        <w:rPr>
          <w:b/>
          <w:bCs/>
          <w:i/>
          <w:iCs/>
          <w:sz w:val="24"/>
          <w:szCs w:val="24"/>
        </w:rPr>
      </w:pPr>
      <w:r w:rsidRPr="001A6488">
        <w:rPr>
          <w:i/>
          <w:iCs/>
          <w:sz w:val="24"/>
          <w:szCs w:val="24"/>
        </w:rPr>
        <w:lastRenderedPageBreak/>
        <w:t>“</w:t>
      </w:r>
      <w:r w:rsidRPr="001A6488">
        <w:rPr>
          <w:b/>
          <w:bCs/>
          <w:i/>
          <w:iCs/>
          <w:sz w:val="24"/>
          <w:szCs w:val="24"/>
        </w:rPr>
        <w:t>Tale assetto non è modificato dalla recente novella, in ispecie dall'art. 9-bis ("Divieto di bis in idem nel procedimento tributario") della L. n. 212 del 2000, introdotto con il D.Lgs. n. 219 del 2023, che ha disposto:</w:t>
      </w:r>
    </w:p>
    <w:p w14:paraId="7369B9EF" w14:textId="3420EFED"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"1. Salvo che specifiche disposizioni prevedano diversamente e ferma l'emendabilità di vizi formali e procedurali, il contribuente ha diritto a che l'amministrazione finanziaria eserciti l'azione accertativa relativamente a ciascun tributo una sola volta per ogni periodo d'imposta.".</w:t>
      </w:r>
    </w:p>
    <w:p w14:paraId="6B396560" w14:textId="75B22CC6"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Sotto un primo profilo, infatti, la norma, mirata prioritariamente ad evitare i rischi della doppia imposizione per il medesimo presupposto impositivo, oltre a far salve le specifiche disposizioni che prevedano diversamente e ritenere avulsa dal fenomeno ("ferma l'emendabilità") la correzione dei vizi formali e procedurali, è in realtà estranea ai meccanismi dell'autotutela.</w:t>
      </w:r>
    </w:p>
    <w:p w14:paraId="6F64744A" w14:textId="5D85A03C"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L'Amministrazione, quando esercita il potere di autotutela, avvia un procedimento di secondo grado avente ad oggetto il precedente atto impositivo viziato, che viene posto nel nulla.</w:t>
      </w:r>
    </w:p>
    <w:p w14:paraId="2E95D128" w14:textId="1155C5A5"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Ne deriva che in sede di autotutela non viene esercitata una nuova azione accertativa, che resta sempre e soltanto quella originaria, ancorata agli elementi di fatto e ai presupposti esistenti al momento del primo atto.</w:t>
      </w:r>
    </w:p>
    <w:p w14:paraId="584B3DB4" w14:textId="35E7B94D" w:rsidR="001A6488" w:rsidRPr="00422FE8" w:rsidRDefault="001A6488" w:rsidP="001A6488">
      <w:pPr>
        <w:pStyle w:val="Paragrafoelenco"/>
        <w:spacing w:after="0" w:line="240" w:lineRule="auto"/>
        <w:ind w:left="567" w:right="849"/>
        <w:jc w:val="both"/>
        <w:rPr>
          <w:b/>
          <w:i/>
          <w:iCs/>
          <w:sz w:val="24"/>
          <w:szCs w:val="24"/>
        </w:rPr>
      </w:pPr>
      <w:r w:rsidRPr="00422FE8">
        <w:rPr>
          <w:b/>
          <w:i/>
          <w:iCs/>
          <w:sz w:val="24"/>
          <w:szCs w:val="24"/>
        </w:rPr>
        <w:t>Manca, pertanto, la reiterazione dell'azione accertativa, restando sempre e solo quella originaria e riguardando il riesame solo i vizi che inficiavano il provvedimento emesso; né si può assistere alla contemporanea esistenza di una duplicità di atti atteso il necessario, preventivo o contestuale, annullamento del primo ove ne venga emesso un secondo in sostituzione.</w:t>
      </w:r>
    </w:p>
    <w:p w14:paraId="45EF5E9A" w14:textId="1DEC519A" w:rsidR="001A6488" w:rsidRPr="00422FE8" w:rsidRDefault="001A6488" w:rsidP="001A6488">
      <w:pPr>
        <w:pStyle w:val="Paragrafoelenco"/>
        <w:spacing w:after="0" w:line="240" w:lineRule="auto"/>
        <w:ind w:left="567" w:right="849"/>
        <w:jc w:val="both"/>
        <w:rPr>
          <w:b/>
          <w:i/>
          <w:iCs/>
          <w:sz w:val="24"/>
          <w:szCs w:val="24"/>
        </w:rPr>
      </w:pPr>
      <w:r w:rsidRPr="00422FE8">
        <w:rPr>
          <w:b/>
          <w:i/>
          <w:iCs/>
          <w:sz w:val="24"/>
          <w:szCs w:val="24"/>
        </w:rPr>
        <w:t>In secondo luogo, l'art. 9-bis va raccordato con l'art. 7, comma 1-bis, della legge n. 212 del 2000 - pure introdotto con il D.Lgs. n. 219 del 2023 (art. 1, lett. g, n. 3) - che ha previsto:</w:t>
      </w:r>
    </w:p>
    <w:p w14:paraId="1171C409" w14:textId="58846A74"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"1-bis. I fatti e i mezzi di prova a fondamento dell'atto non possono essere successivamente modificati, integrati o sostituiti se non attraverso l'adozione di un ulteriore atto, ove ne ricorrano i presupposti e non siano maturate decadenze."</w:t>
      </w:r>
    </w:p>
    <w:p w14:paraId="2757F5EC" w14:textId="1B8947AE" w:rsidR="001A6488" w:rsidRPr="001A6488" w:rsidRDefault="001A6488" w:rsidP="001A6488">
      <w:pPr>
        <w:pStyle w:val="Paragrafoelenco"/>
        <w:spacing w:after="0" w:line="240" w:lineRule="auto"/>
        <w:ind w:left="567" w:right="849"/>
        <w:jc w:val="both"/>
        <w:rPr>
          <w:i/>
          <w:iCs/>
          <w:sz w:val="24"/>
          <w:szCs w:val="24"/>
        </w:rPr>
      </w:pPr>
      <w:r w:rsidRPr="001A6488">
        <w:rPr>
          <w:i/>
          <w:iCs/>
          <w:sz w:val="24"/>
          <w:szCs w:val="24"/>
        </w:rPr>
        <w:t>L'interpretazione sistematica e congiunta delle due norme conduce infatti a ritenere, alla luce del richiamo ai fatti e mezzi di prova", che pure i vizi sostanziali siano necessariamente valutabili ai fini, tra l'altro, della sostituzione dell'atto, attività che non può che avvenire mediante l'adozione di un nuovo atto in via di autotutela.</w:t>
      </w:r>
      <w:r w:rsidR="00422FE8">
        <w:rPr>
          <w:i/>
          <w:iCs/>
          <w:sz w:val="24"/>
          <w:szCs w:val="24"/>
        </w:rPr>
        <w:t>”</w:t>
      </w:r>
    </w:p>
    <w:p w14:paraId="78D5C13E" w14:textId="77777777" w:rsidR="00C84044" w:rsidRPr="001A6488" w:rsidRDefault="00C84044" w:rsidP="001A6488">
      <w:pPr>
        <w:spacing w:after="0" w:line="360" w:lineRule="auto"/>
        <w:ind w:right="-1"/>
        <w:jc w:val="both"/>
        <w:rPr>
          <w:sz w:val="24"/>
          <w:szCs w:val="24"/>
        </w:rPr>
      </w:pPr>
    </w:p>
    <w:p w14:paraId="6BF9C564" w14:textId="77777777" w:rsidR="00C84044" w:rsidRDefault="00C84044" w:rsidP="007D43F3">
      <w:pPr>
        <w:pStyle w:val="Paragrafoelenco"/>
        <w:spacing w:after="0" w:line="360" w:lineRule="auto"/>
        <w:ind w:left="426" w:right="-1"/>
        <w:jc w:val="both"/>
        <w:rPr>
          <w:sz w:val="24"/>
          <w:szCs w:val="24"/>
        </w:rPr>
      </w:pPr>
    </w:p>
    <w:p w14:paraId="56225A65" w14:textId="77777777" w:rsidR="00544B1B" w:rsidRDefault="00A174F9" w:rsidP="00544B1B">
      <w:pPr>
        <w:pStyle w:val="Paragrafoelenco"/>
        <w:numPr>
          <w:ilvl w:val="0"/>
          <w:numId w:val="6"/>
        </w:numPr>
        <w:spacing w:line="360" w:lineRule="auto"/>
        <w:ind w:left="426" w:right="-1" w:hanging="426"/>
        <w:jc w:val="both"/>
        <w:rPr>
          <w:b/>
          <w:bCs/>
          <w:sz w:val="24"/>
          <w:szCs w:val="24"/>
        </w:rPr>
      </w:pPr>
      <w:r w:rsidRPr="007D43F3">
        <w:rPr>
          <w:b/>
          <w:bCs/>
          <w:sz w:val="24"/>
          <w:szCs w:val="24"/>
        </w:rPr>
        <w:t>Articolo 10-ter dello Statuto dei Diritti del Contribuente (Legge n. 212/2000)</w:t>
      </w:r>
    </w:p>
    <w:p w14:paraId="66080DFC" w14:textId="2A674081" w:rsidR="00A174F9" w:rsidRPr="00D647C3" w:rsidRDefault="00A174F9" w:rsidP="00544B1B">
      <w:pPr>
        <w:pStyle w:val="Paragrafoelenco"/>
        <w:spacing w:line="360" w:lineRule="auto"/>
        <w:ind w:left="426" w:right="-1"/>
        <w:jc w:val="center"/>
        <w:rPr>
          <w:b/>
          <w:bCs/>
          <w:i/>
          <w:iCs/>
          <w:sz w:val="24"/>
          <w:szCs w:val="24"/>
        </w:rPr>
      </w:pPr>
      <w:r w:rsidRPr="00D647C3">
        <w:rPr>
          <w:i/>
          <w:iCs/>
          <w:sz w:val="24"/>
          <w:szCs w:val="24"/>
        </w:rPr>
        <w:t>“</w:t>
      </w:r>
      <w:r w:rsidRPr="00131D3F">
        <w:rPr>
          <w:b/>
          <w:bCs/>
          <w:i/>
          <w:iCs/>
          <w:sz w:val="24"/>
          <w:szCs w:val="24"/>
        </w:rPr>
        <w:t>Principio di proporzionalità nel procedimento tributario</w:t>
      </w:r>
    </w:p>
    <w:p w14:paraId="4186DC53" w14:textId="77777777" w:rsidR="00A174F9" w:rsidRPr="00D647C3" w:rsidRDefault="00EC1F0C" w:rsidP="00544B1B">
      <w:pPr>
        <w:spacing w:line="360" w:lineRule="auto"/>
        <w:ind w:left="284"/>
        <w:contextualSpacing/>
        <w:jc w:val="both"/>
        <w:rPr>
          <w:i/>
          <w:iCs/>
          <w:sz w:val="24"/>
          <w:szCs w:val="24"/>
        </w:rPr>
      </w:pPr>
      <w:r>
        <w:rPr>
          <w:i/>
          <w:iCs/>
          <w:sz w:val="24"/>
          <w:szCs w:val="24"/>
        </w:rPr>
        <w:pict w14:anchorId="4E993160">
          <v:rect id="_x0000_i1027" style="width:0;height:1.5pt" o:hralign="center" o:hrstd="t" o:hr="t" fillcolor="#a0a0a0" stroked="f"/>
        </w:pict>
      </w:r>
    </w:p>
    <w:p w14:paraId="6DBF3FBB" w14:textId="77777777" w:rsidR="00A174F9" w:rsidRPr="00D647C3" w:rsidRDefault="00A174F9" w:rsidP="00544B1B">
      <w:pPr>
        <w:spacing w:line="360" w:lineRule="auto"/>
        <w:ind w:left="284"/>
        <w:contextualSpacing/>
        <w:jc w:val="both"/>
        <w:rPr>
          <w:i/>
          <w:iCs/>
          <w:sz w:val="24"/>
          <w:szCs w:val="24"/>
        </w:rPr>
      </w:pPr>
      <w:r w:rsidRPr="00D647C3">
        <w:rPr>
          <w:b/>
          <w:bCs/>
          <w:i/>
          <w:iCs/>
          <w:sz w:val="24"/>
          <w:szCs w:val="24"/>
        </w:rPr>
        <w:t>1.</w:t>
      </w:r>
      <w:r w:rsidRPr="00D647C3">
        <w:rPr>
          <w:i/>
          <w:iCs/>
          <w:sz w:val="24"/>
          <w:szCs w:val="24"/>
        </w:rPr>
        <w:t xml:space="preserve"> Il procedimento tributario bilancia la protezione dell'interesse erariale alla percezione del tributo con la tutela dei diritti fondamentali del contribuente, nel rispetto del principio di proporzionalità.</w:t>
      </w:r>
    </w:p>
    <w:p w14:paraId="5CFCD222" w14:textId="77777777" w:rsidR="00A174F9" w:rsidRPr="00D647C3" w:rsidRDefault="00A174F9" w:rsidP="007D43F3">
      <w:pPr>
        <w:spacing w:line="360" w:lineRule="auto"/>
        <w:ind w:left="284"/>
        <w:contextualSpacing/>
        <w:jc w:val="both"/>
        <w:rPr>
          <w:i/>
          <w:iCs/>
          <w:sz w:val="24"/>
          <w:szCs w:val="24"/>
        </w:rPr>
      </w:pPr>
      <w:r w:rsidRPr="00D647C3">
        <w:rPr>
          <w:b/>
          <w:bCs/>
          <w:i/>
          <w:iCs/>
          <w:sz w:val="24"/>
          <w:szCs w:val="24"/>
        </w:rPr>
        <w:t>2.</w:t>
      </w:r>
      <w:r w:rsidRPr="00D647C3">
        <w:rPr>
          <w:i/>
          <w:iCs/>
          <w:sz w:val="24"/>
          <w:szCs w:val="24"/>
        </w:rPr>
        <w:t xml:space="preserve"> In conformità al principio di proporzionalità, l'azione amministrativa deve essere necessaria per l'attuazione del tributo, non eccedente rispetto ai fini perseguiti e non limitare i diritti dei contribuenti oltre quanto strettamente necessario al raggiungimento del proprio obiettivo.</w:t>
      </w:r>
    </w:p>
    <w:p w14:paraId="6A163D16" w14:textId="75DB6AAE" w:rsidR="00A174F9" w:rsidRPr="00D647C3" w:rsidRDefault="00A174F9" w:rsidP="007D43F3">
      <w:pPr>
        <w:spacing w:line="360" w:lineRule="auto"/>
        <w:ind w:left="284"/>
        <w:contextualSpacing/>
        <w:jc w:val="both"/>
        <w:rPr>
          <w:i/>
          <w:iCs/>
          <w:sz w:val="24"/>
          <w:szCs w:val="24"/>
        </w:rPr>
      </w:pPr>
      <w:r w:rsidRPr="00D647C3">
        <w:rPr>
          <w:b/>
          <w:bCs/>
          <w:i/>
          <w:iCs/>
          <w:sz w:val="24"/>
          <w:szCs w:val="24"/>
        </w:rPr>
        <w:lastRenderedPageBreak/>
        <w:t>3.</w:t>
      </w:r>
      <w:r w:rsidRPr="00D647C3">
        <w:rPr>
          <w:i/>
          <w:iCs/>
          <w:sz w:val="24"/>
          <w:szCs w:val="24"/>
        </w:rPr>
        <w:t xml:space="preserve"> Il principio di proporzionalità di cui ai commi 1 e 2 si applica anche alle misure di contrasto dell'elusione e dell'evasione fiscale e alle sanzioni tributarie.”</w:t>
      </w:r>
    </w:p>
    <w:p w14:paraId="25B6ADD2" w14:textId="77777777" w:rsidR="00C84044" w:rsidRDefault="00C84044" w:rsidP="007D43F3">
      <w:pPr>
        <w:spacing w:line="360" w:lineRule="auto"/>
        <w:ind w:right="-1"/>
        <w:jc w:val="both"/>
        <w:rPr>
          <w:b/>
          <w:bCs/>
          <w:sz w:val="24"/>
          <w:szCs w:val="24"/>
        </w:rPr>
      </w:pPr>
    </w:p>
    <w:p w14:paraId="1AD9B028" w14:textId="470FE15B" w:rsidR="007D43F3" w:rsidRDefault="007D43F3" w:rsidP="007D43F3">
      <w:pPr>
        <w:pStyle w:val="Paragrafoelenco"/>
        <w:numPr>
          <w:ilvl w:val="0"/>
          <w:numId w:val="6"/>
        </w:numPr>
        <w:spacing w:line="360" w:lineRule="auto"/>
        <w:ind w:left="426" w:right="-1" w:hanging="426"/>
        <w:jc w:val="both"/>
        <w:rPr>
          <w:b/>
          <w:bCs/>
          <w:sz w:val="24"/>
          <w:szCs w:val="24"/>
        </w:rPr>
      </w:pPr>
      <w:r>
        <w:rPr>
          <w:b/>
          <w:bCs/>
          <w:sz w:val="24"/>
          <w:szCs w:val="24"/>
        </w:rPr>
        <w:t>Articolo 21-bis Decreto Legislativo n. 74/2000</w:t>
      </w:r>
      <w:r w:rsidR="00163951">
        <w:rPr>
          <w:b/>
          <w:bCs/>
          <w:sz w:val="24"/>
          <w:szCs w:val="24"/>
        </w:rPr>
        <w:t xml:space="preserve"> </w:t>
      </w:r>
      <w:bookmarkStart w:id="58" w:name="_Hlk186543456"/>
      <w:r w:rsidR="00163951">
        <w:rPr>
          <w:b/>
          <w:bCs/>
          <w:sz w:val="24"/>
          <w:szCs w:val="24"/>
        </w:rPr>
        <w:t xml:space="preserve">dal 29.06.2024 </w:t>
      </w:r>
      <w:bookmarkEnd w:id="58"/>
    </w:p>
    <w:p w14:paraId="1D447545" w14:textId="3663DFFB" w:rsidR="007D43F3" w:rsidRPr="00D647C3" w:rsidRDefault="007D43F3" w:rsidP="007D43F3">
      <w:pPr>
        <w:pStyle w:val="Paragrafoelenco"/>
        <w:spacing w:line="360" w:lineRule="auto"/>
        <w:ind w:left="426" w:right="-1"/>
        <w:jc w:val="center"/>
        <w:rPr>
          <w:i/>
          <w:iCs/>
          <w:sz w:val="24"/>
          <w:szCs w:val="24"/>
        </w:rPr>
      </w:pPr>
      <w:r w:rsidRPr="00D647C3">
        <w:rPr>
          <w:i/>
          <w:iCs/>
          <w:sz w:val="24"/>
          <w:szCs w:val="24"/>
        </w:rPr>
        <w:t>“</w:t>
      </w:r>
      <w:r w:rsidRPr="00131D3F">
        <w:rPr>
          <w:b/>
          <w:bCs/>
          <w:i/>
          <w:iCs/>
          <w:sz w:val="24"/>
          <w:szCs w:val="24"/>
        </w:rPr>
        <w:t>Efficacia delle sentenze penali nel processo tributario e nel processo di Cassazione</w:t>
      </w:r>
    </w:p>
    <w:p w14:paraId="3081699F" w14:textId="77777777" w:rsidR="007D43F3" w:rsidRPr="00D647C3" w:rsidRDefault="00EC1F0C" w:rsidP="007D43F3">
      <w:pPr>
        <w:pStyle w:val="Paragrafoelenco"/>
        <w:spacing w:line="360" w:lineRule="auto"/>
        <w:ind w:left="425"/>
        <w:jc w:val="both"/>
        <w:rPr>
          <w:b/>
          <w:bCs/>
          <w:i/>
          <w:iCs/>
          <w:sz w:val="24"/>
          <w:szCs w:val="24"/>
        </w:rPr>
      </w:pPr>
      <w:r>
        <w:rPr>
          <w:b/>
          <w:bCs/>
          <w:i/>
          <w:iCs/>
          <w:sz w:val="24"/>
          <w:szCs w:val="24"/>
        </w:rPr>
        <w:pict w14:anchorId="4CF2E4E8">
          <v:rect id="_x0000_i1028" style="width:0;height:1.5pt" o:hralign="center" o:hrstd="t" o:hr="t" fillcolor="#a0a0a0" stroked="f"/>
        </w:pict>
      </w:r>
    </w:p>
    <w:p w14:paraId="6FBDD6B8" w14:textId="12136334" w:rsidR="007D43F3" w:rsidRPr="00131D3F" w:rsidRDefault="007D43F3" w:rsidP="007D43F3">
      <w:pPr>
        <w:pStyle w:val="Paragrafoelenco"/>
        <w:spacing w:line="360" w:lineRule="auto"/>
        <w:ind w:left="425"/>
        <w:jc w:val="both"/>
        <w:rPr>
          <w:b/>
          <w:bCs/>
          <w:i/>
          <w:iCs/>
          <w:sz w:val="24"/>
          <w:szCs w:val="24"/>
        </w:rPr>
      </w:pPr>
      <w:r w:rsidRPr="00D647C3">
        <w:rPr>
          <w:b/>
          <w:bCs/>
          <w:i/>
          <w:iCs/>
          <w:sz w:val="24"/>
          <w:szCs w:val="24"/>
        </w:rPr>
        <w:t>1.</w:t>
      </w:r>
      <w:r w:rsidRPr="00D647C3">
        <w:rPr>
          <w:i/>
          <w:iCs/>
          <w:sz w:val="24"/>
          <w:szCs w:val="24"/>
        </w:rPr>
        <w:t xml:space="preserve"> </w:t>
      </w:r>
      <w:r w:rsidRPr="00131D3F">
        <w:rPr>
          <w:b/>
          <w:bCs/>
          <w:i/>
          <w:iCs/>
          <w:sz w:val="24"/>
          <w:szCs w:val="24"/>
        </w:rPr>
        <w:t>La sentenza irrevocabile di assoluzione perché il fatto non sussiste o l'imputato non lo ha commesso, pronunciata in seguito a dibattimento nei confronti del medesimo soggetto e sugli stessi fatti materiali oggetto di valutazione nel processo tributario, ha, in questo, efficacia di giudicato, in ogni stato e grado, quanto ai fatti medesimi.</w:t>
      </w:r>
    </w:p>
    <w:p w14:paraId="60E34881" w14:textId="77777777" w:rsidR="007D43F3" w:rsidRPr="00D647C3" w:rsidRDefault="007D43F3" w:rsidP="007D43F3">
      <w:pPr>
        <w:pStyle w:val="Paragrafoelenco"/>
        <w:spacing w:line="360" w:lineRule="auto"/>
        <w:ind w:left="425"/>
        <w:jc w:val="both"/>
        <w:rPr>
          <w:i/>
          <w:iCs/>
          <w:sz w:val="24"/>
          <w:szCs w:val="24"/>
        </w:rPr>
      </w:pPr>
      <w:r w:rsidRPr="00D647C3">
        <w:rPr>
          <w:b/>
          <w:bCs/>
          <w:i/>
          <w:iCs/>
          <w:sz w:val="24"/>
          <w:szCs w:val="24"/>
        </w:rPr>
        <w:t>2.</w:t>
      </w:r>
      <w:r w:rsidRPr="00D647C3">
        <w:rPr>
          <w:i/>
          <w:iCs/>
          <w:sz w:val="24"/>
          <w:szCs w:val="24"/>
        </w:rPr>
        <w:t xml:space="preserve"> La sentenza penale irrevocabile di cui al comma 1 può essere depositata anche nel giudizio di Cassazione fino a quindici giorni prima dell'udienza o dell'adunanza in camera di consiglio.</w:t>
      </w:r>
    </w:p>
    <w:p w14:paraId="0A6159DA" w14:textId="25FCFE8C" w:rsidR="007D43F3" w:rsidRPr="00D647C3" w:rsidRDefault="007D43F3" w:rsidP="007D43F3">
      <w:pPr>
        <w:pStyle w:val="Paragrafoelenco"/>
        <w:spacing w:line="360" w:lineRule="auto"/>
        <w:ind w:left="425"/>
        <w:jc w:val="both"/>
        <w:rPr>
          <w:i/>
          <w:iCs/>
          <w:sz w:val="24"/>
          <w:szCs w:val="24"/>
        </w:rPr>
      </w:pPr>
      <w:r w:rsidRPr="00D647C3">
        <w:rPr>
          <w:b/>
          <w:bCs/>
          <w:i/>
          <w:iCs/>
          <w:sz w:val="24"/>
          <w:szCs w:val="24"/>
        </w:rPr>
        <w:t>3.</w:t>
      </w:r>
      <w:r w:rsidRPr="00D647C3">
        <w:rPr>
          <w:i/>
          <w:iCs/>
          <w:sz w:val="24"/>
          <w:szCs w:val="24"/>
        </w:rPr>
        <w:t xml:space="preserve"> Le disposizioni dei commi 1 e 2 si applicano, limitatamente alle ipotesi di sentenza di assoluzione perché il fatto non sussiste, anche nei confronti della persona fisica nell'interesse della quale ha agito il dipendente, il rappresentante legale o negoziale, ovvero nei confronti dell'ente e società, con o senza personalità giuridica, nell'interesse dei quali ha agito il rappresentante o l'amministratore anche di fatto, nonché nei confronti dei loro soci o associati.”</w:t>
      </w:r>
    </w:p>
    <w:p w14:paraId="24B4BE50" w14:textId="3E8955E6" w:rsidR="00131D3F" w:rsidRDefault="00131D3F" w:rsidP="00131D3F">
      <w:pPr>
        <w:pStyle w:val="Paragrafoelenco"/>
        <w:spacing w:line="360" w:lineRule="auto"/>
        <w:ind w:left="425"/>
        <w:jc w:val="center"/>
        <w:rPr>
          <w:b/>
          <w:bCs/>
          <w:sz w:val="24"/>
          <w:szCs w:val="24"/>
        </w:rPr>
      </w:pPr>
      <w:r>
        <w:rPr>
          <w:b/>
          <w:bCs/>
          <w:sz w:val="24"/>
          <w:szCs w:val="24"/>
        </w:rPr>
        <w:t>****</w:t>
      </w:r>
    </w:p>
    <w:p w14:paraId="088B14F8" w14:textId="24253062" w:rsidR="007D43F3" w:rsidRDefault="007D43F3" w:rsidP="007D43F3">
      <w:pPr>
        <w:pStyle w:val="Paragrafoelenco"/>
        <w:spacing w:line="360" w:lineRule="auto"/>
        <w:ind w:left="425"/>
        <w:jc w:val="both"/>
        <w:rPr>
          <w:b/>
          <w:bCs/>
          <w:sz w:val="24"/>
          <w:szCs w:val="24"/>
        </w:rPr>
      </w:pPr>
      <w:r w:rsidRPr="007D43F3">
        <w:rPr>
          <w:b/>
          <w:bCs/>
          <w:sz w:val="24"/>
          <w:szCs w:val="24"/>
        </w:rPr>
        <w:t>Il presente articolo</w:t>
      </w:r>
      <w:r w:rsidR="00241029">
        <w:rPr>
          <w:b/>
          <w:bCs/>
          <w:sz w:val="24"/>
          <w:szCs w:val="24"/>
        </w:rPr>
        <w:t>,</w:t>
      </w:r>
      <w:r w:rsidRPr="007D43F3">
        <w:rPr>
          <w:b/>
          <w:bCs/>
          <w:sz w:val="24"/>
          <w:szCs w:val="24"/>
        </w:rPr>
        <w:t xml:space="preserve"> inserito dall'art. 1, comma 1, lett. m), D.Lgs. 14.06.2024, n. 87 con decorrenza dal 29.06.2024, è stato abrogato dall'art. 130, comma 1, lett. f), dell'allegato al D.Lgs. 14.11.2024, n. 175 con decorrenza dal 01.01.2026</w:t>
      </w:r>
      <w:r w:rsidR="00131D3F">
        <w:rPr>
          <w:b/>
          <w:bCs/>
          <w:sz w:val="24"/>
          <w:szCs w:val="24"/>
        </w:rPr>
        <w:t xml:space="preserve"> (sarà art. 119 T.U. n. 175/2024)</w:t>
      </w:r>
      <w:r w:rsidRPr="007D43F3">
        <w:rPr>
          <w:b/>
          <w:bCs/>
          <w:sz w:val="24"/>
          <w:szCs w:val="24"/>
        </w:rPr>
        <w:t>.</w:t>
      </w:r>
    </w:p>
    <w:p w14:paraId="625568B8" w14:textId="77777777" w:rsidR="00131D3F" w:rsidRDefault="00131D3F" w:rsidP="00131D3F">
      <w:pPr>
        <w:pStyle w:val="Paragrafoelenco"/>
        <w:spacing w:line="360" w:lineRule="auto"/>
        <w:ind w:left="426" w:right="-1"/>
        <w:jc w:val="both"/>
        <w:rPr>
          <w:b/>
          <w:bCs/>
          <w:sz w:val="24"/>
          <w:szCs w:val="24"/>
        </w:rPr>
      </w:pPr>
      <w:r>
        <w:rPr>
          <w:b/>
          <w:bCs/>
          <w:sz w:val="24"/>
          <w:szCs w:val="24"/>
        </w:rPr>
        <w:t>La Corte di Cassazione – Sezione Tributaria – con la recente sentenza n. 30814 del 02 dicembre 2024 ha stabilito il seguente principio di diritto:</w:t>
      </w:r>
    </w:p>
    <w:p w14:paraId="3C2E2598" w14:textId="2389EF6F" w:rsidR="007D43F3" w:rsidRPr="00131D3F" w:rsidRDefault="00131D3F" w:rsidP="00131D3F">
      <w:pPr>
        <w:pStyle w:val="Paragrafoelenco"/>
        <w:spacing w:line="240" w:lineRule="auto"/>
        <w:ind w:left="851" w:right="849"/>
        <w:jc w:val="both"/>
        <w:rPr>
          <w:i/>
          <w:iCs/>
          <w:sz w:val="24"/>
          <w:szCs w:val="24"/>
        </w:rPr>
      </w:pPr>
      <w:r w:rsidRPr="007F2EFC">
        <w:rPr>
          <w:i/>
          <w:iCs/>
          <w:sz w:val="24"/>
          <w:szCs w:val="24"/>
        </w:rPr>
        <w:t xml:space="preserve">“L'art. 21-bis del D.Lgs. n. 74 del 2000, introdotto dal D.Lgs. n. 87 del 2024, che riconosce efficacia di giudicato nel processo tributario alla sentenza penale dibattimentale irrevocabile di assoluzione, </w:t>
      </w:r>
      <w:r w:rsidRPr="00241029">
        <w:rPr>
          <w:b/>
          <w:i/>
          <w:iCs/>
          <w:sz w:val="24"/>
          <w:szCs w:val="24"/>
        </w:rPr>
        <w:t xml:space="preserve">è applicabile, quale </w:t>
      </w:r>
      <w:proofErr w:type="spellStart"/>
      <w:r w:rsidRPr="00241029">
        <w:rPr>
          <w:b/>
          <w:i/>
          <w:iCs/>
          <w:sz w:val="24"/>
          <w:szCs w:val="24"/>
        </w:rPr>
        <w:t>ius</w:t>
      </w:r>
      <w:proofErr w:type="spellEnd"/>
      <w:r w:rsidRPr="00241029">
        <w:rPr>
          <w:b/>
          <w:i/>
          <w:iCs/>
          <w:sz w:val="24"/>
          <w:szCs w:val="24"/>
        </w:rPr>
        <w:t xml:space="preserve"> </w:t>
      </w:r>
      <w:proofErr w:type="spellStart"/>
      <w:r w:rsidRPr="00241029">
        <w:rPr>
          <w:b/>
          <w:i/>
          <w:iCs/>
          <w:sz w:val="24"/>
          <w:szCs w:val="24"/>
        </w:rPr>
        <w:t>superveniens</w:t>
      </w:r>
      <w:proofErr w:type="spellEnd"/>
      <w:r w:rsidRPr="00241029">
        <w:rPr>
          <w:b/>
          <w:i/>
          <w:iCs/>
          <w:sz w:val="24"/>
          <w:szCs w:val="24"/>
        </w:rPr>
        <w:t>, anche ai casi in cui detta sentenza è divenuta irrevocabile prima della operatività di detto articolo e, alla data della sua entrata in vigore, risulta ancora pendente il giudizio di cassazione contro la sentenza tributaria d'appello che ha condannato il contribuente in relazione ai medesimi fatti, rilevanti penalmente, dai quali egli è stato irrevocabilmente assolto, in esito a giudizio dibattimentale, con una delle formule di merito previste dal codice di rito penale (perché il fatto non sussiste o perché l'imputato non l'ha commesso).</w:t>
      </w:r>
      <w:r w:rsidR="003420E4">
        <w:rPr>
          <w:b/>
          <w:i/>
          <w:iCs/>
          <w:sz w:val="24"/>
          <w:szCs w:val="24"/>
        </w:rPr>
        <w:t>”</w:t>
      </w:r>
    </w:p>
    <w:p w14:paraId="38D7A2EF" w14:textId="77777777" w:rsidR="007557FE" w:rsidRDefault="007557FE" w:rsidP="007557FE">
      <w:pPr>
        <w:pStyle w:val="Paragrafoelenco"/>
        <w:spacing w:line="360" w:lineRule="auto"/>
        <w:ind w:left="426" w:hanging="1"/>
        <w:jc w:val="both"/>
        <w:rPr>
          <w:b/>
          <w:bCs/>
          <w:sz w:val="24"/>
          <w:szCs w:val="24"/>
        </w:rPr>
      </w:pPr>
    </w:p>
    <w:p w14:paraId="3E9E5E61" w14:textId="7D4E8C98" w:rsidR="00C84044" w:rsidRPr="007557FE" w:rsidRDefault="007557FE" w:rsidP="007557FE">
      <w:pPr>
        <w:pStyle w:val="Paragrafoelenco"/>
        <w:spacing w:line="360" w:lineRule="auto"/>
        <w:ind w:left="426" w:hanging="1"/>
        <w:jc w:val="both"/>
        <w:rPr>
          <w:b/>
          <w:bCs/>
          <w:sz w:val="24"/>
          <w:szCs w:val="24"/>
        </w:rPr>
      </w:pPr>
      <w:r>
        <w:rPr>
          <w:b/>
          <w:bCs/>
          <w:sz w:val="24"/>
          <w:szCs w:val="24"/>
        </w:rPr>
        <w:t xml:space="preserve">Le limitate condizioni previste dalla succitata norma oggi non garantiscono il rispetto del ne bis in idem. </w:t>
      </w:r>
    </w:p>
    <w:p w14:paraId="632CC8D5" w14:textId="6131BF91" w:rsidR="007D43F3" w:rsidRDefault="007D43F3" w:rsidP="007D43F3">
      <w:pPr>
        <w:pStyle w:val="Paragrafoelenco"/>
        <w:numPr>
          <w:ilvl w:val="0"/>
          <w:numId w:val="6"/>
        </w:numPr>
        <w:spacing w:line="360" w:lineRule="auto"/>
        <w:ind w:left="426" w:right="-1" w:hanging="426"/>
        <w:jc w:val="both"/>
        <w:rPr>
          <w:b/>
          <w:bCs/>
          <w:sz w:val="24"/>
          <w:szCs w:val="24"/>
        </w:rPr>
      </w:pPr>
      <w:r>
        <w:rPr>
          <w:b/>
          <w:bCs/>
          <w:sz w:val="24"/>
          <w:szCs w:val="24"/>
        </w:rPr>
        <w:lastRenderedPageBreak/>
        <w:t xml:space="preserve">Articolo 21-ter </w:t>
      </w:r>
      <w:bookmarkStart w:id="59" w:name="_Hlk187060776"/>
      <w:r>
        <w:rPr>
          <w:b/>
          <w:bCs/>
          <w:sz w:val="24"/>
          <w:szCs w:val="24"/>
        </w:rPr>
        <w:t>Decreto Legislativo n. 74/2000</w:t>
      </w:r>
      <w:r w:rsidR="00163951">
        <w:rPr>
          <w:b/>
          <w:bCs/>
          <w:sz w:val="24"/>
          <w:szCs w:val="24"/>
        </w:rPr>
        <w:t xml:space="preserve"> </w:t>
      </w:r>
      <w:r w:rsidR="00163951" w:rsidRPr="00163951">
        <w:rPr>
          <w:b/>
          <w:bCs/>
          <w:sz w:val="24"/>
          <w:szCs w:val="24"/>
        </w:rPr>
        <w:t>dal 29.06.2024</w:t>
      </w:r>
      <w:bookmarkEnd w:id="59"/>
    </w:p>
    <w:p w14:paraId="2C25A7AB" w14:textId="213022FA" w:rsidR="007D43F3" w:rsidRPr="00D647C3" w:rsidRDefault="007D43F3" w:rsidP="007D43F3">
      <w:pPr>
        <w:pStyle w:val="Paragrafoelenco"/>
        <w:spacing w:line="360" w:lineRule="auto"/>
        <w:ind w:left="426" w:right="-1"/>
        <w:jc w:val="center"/>
        <w:rPr>
          <w:i/>
          <w:iCs/>
          <w:sz w:val="24"/>
          <w:szCs w:val="24"/>
        </w:rPr>
      </w:pPr>
      <w:r w:rsidRPr="00D647C3">
        <w:rPr>
          <w:i/>
          <w:iCs/>
          <w:sz w:val="24"/>
          <w:szCs w:val="24"/>
        </w:rPr>
        <w:t>“</w:t>
      </w:r>
      <w:r w:rsidRPr="00131D3F">
        <w:rPr>
          <w:b/>
          <w:bCs/>
          <w:i/>
          <w:iCs/>
          <w:sz w:val="24"/>
          <w:szCs w:val="24"/>
        </w:rPr>
        <w:t>Applicazione ed esecuzione delle sanzioni penali e amministrative</w:t>
      </w:r>
    </w:p>
    <w:p w14:paraId="390330D2" w14:textId="77777777" w:rsidR="007D43F3" w:rsidRPr="00D647C3" w:rsidRDefault="00EC1F0C" w:rsidP="007D43F3">
      <w:pPr>
        <w:pStyle w:val="Paragrafoelenco"/>
        <w:spacing w:line="360" w:lineRule="auto"/>
        <w:ind w:left="426" w:right="-1"/>
        <w:jc w:val="both"/>
        <w:rPr>
          <w:b/>
          <w:bCs/>
          <w:i/>
          <w:iCs/>
          <w:sz w:val="24"/>
          <w:szCs w:val="24"/>
        </w:rPr>
      </w:pPr>
      <w:r>
        <w:rPr>
          <w:b/>
          <w:bCs/>
          <w:i/>
          <w:iCs/>
          <w:sz w:val="24"/>
          <w:szCs w:val="24"/>
        </w:rPr>
        <w:pict w14:anchorId="429D6B2E">
          <v:rect id="_x0000_i1029" style="width:0;height:1.5pt" o:hralign="center" o:hrstd="t" o:hr="t" fillcolor="#a0a0a0" stroked="f"/>
        </w:pict>
      </w:r>
    </w:p>
    <w:p w14:paraId="6D8573AA" w14:textId="77777777" w:rsidR="001D039C" w:rsidRPr="00D647C3" w:rsidRDefault="007D43F3" w:rsidP="001D039C">
      <w:pPr>
        <w:pStyle w:val="Paragrafoelenco"/>
        <w:spacing w:line="360" w:lineRule="auto"/>
        <w:ind w:left="426" w:right="-1"/>
        <w:jc w:val="both"/>
        <w:rPr>
          <w:i/>
          <w:iCs/>
          <w:sz w:val="24"/>
          <w:szCs w:val="24"/>
        </w:rPr>
      </w:pPr>
      <w:r w:rsidRPr="00D647C3">
        <w:rPr>
          <w:i/>
          <w:iCs/>
          <w:sz w:val="24"/>
          <w:szCs w:val="24"/>
        </w:rPr>
        <w:t>1. Quando, per lo stesso fatto è stata applicata, a carico del soggetto, una sanzione penale ovvero una sanzione amministrativa o una sanzione amministrativa dipendente da reato, il giudice o l'autorità amministrativa, al momento della determinazione delle sanzioni di propria competenza e al fine di ridurne la relativa misura, tiene conto di quelle già irrogate con provvedimento o con sentenza assunti in via definitiva.</w:t>
      </w:r>
      <w:r w:rsidR="001D039C" w:rsidRPr="00D647C3">
        <w:rPr>
          <w:i/>
          <w:iCs/>
          <w:sz w:val="24"/>
          <w:szCs w:val="24"/>
        </w:rPr>
        <w:t>”</w:t>
      </w:r>
    </w:p>
    <w:p w14:paraId="13A25E87" w14:textId="75B54FF2" w:rsidR="00131D3F" w:rsidRDefault="00131D3F" w:rsidP="00131D3F">
      <w:pPr>
        <w:pStyle w:val="Paragrafoelenco"/>
        <w:spacing w:line="360" w:lineRule="auto"/>
        <w:ind w:left="426" w:right="-1"/>
        <w:jc w:val="center"/>
        <w:rPr>
          <w:b/>
          <w:bCs/>
          <w:sz w:val="24"/>
          <w:szCs w:val="24"/>
        </w:rPr>
      </w:pPr>
      <w:r>
        <w:rPr>
          <w:b/>
          <w:bCs/>
          <w:sz w:val="24"/>
          <w:szCs w:val="24"/>
        </w:rPr>
        <w:t>****</w:t>
      </w:r>
    </w:p>
    <w:p w14:paraId="5B084188" w14:textId="0CFD16A6" w:rsidR="007D43F3" w:rsidRDefault="001D039C" w:rsidP="001D039C">
      <w:pPr>
        <w:pStyle w:val="Paragrafoelenco"/>
        <w:spacing w:line="360" w:lineRule="auto"/>
        <w:ind w:left="426" w:right="-1"/>
        <w:jc w:val="both"/>
        <w:rPr>
          <w:b/>
          <w:bCs/>
          <w:sz w:val="24"/>
          <w:szCs w:val="24"/>
        </w:rPr>
      </w:pPr>
      <w:r w:rsidRPr="001D039C">
        <w:rPr>
          <w:b/>
          <w:bCs/>
          <w:sz w:val="24"/>
          <w:szCs w:val="24"/>
        </w:rPr>
        <w:t>Il presente articolo</w:t>
      </w:r>
      <w:r w:rsidR="00E546A9">
        <w:rPr>
          <w:b/>
          <w:bCs/>
          <w:sz w:val="24"/>
          <w:szCs w:val="24"/>
        </w:rPr>
        <w:t>,</w:t>
      </w:r>
      <w:r w:rsidRPr="001D039C">
        <w:rPr>
          <w:b/>
          <w:bCs/>
          <w:sz w:val="24"/>
          <w:szCs w:val="24"/>
        </w:rPr>
        <w:t xml:space="preserve"> inserito dall'art. 1, comma 1, lett. m), D.Lgs. 14.06.2024, n. 87 con decorrenza dal 29.06.2024, è stato abrogato dall'art. 130, comma 1, lett. f), dell'allegato al D.Lgs. 14.11.2024, n. 175 con decorrenza dal 01.01.2026</w:t>
      </w:r>
      <w:r w:rsidR="00131D3F">
        <w:rPr>
          <w:b/>
          <w:bCs/>
          <w:sz w:val="24"/>
          <w:szCs w:val="24"/>
        </w:rPr>
        <w:t xml:space="preserve"> (sarà art. 124 T.U. n. 175/2024)</w:t>
      </w:r>
      <w:r w:rsidRPr="001D039C">
        <w:rPr>
          <w:b/>
          <w:bCs/>
          <w:sz w:val="24"/>
          <w:szCs w:val="24"/>
        </w:rPr>
        <w:t>.</w:t>
      </w:r>
    </w:p>
    <w:p w14:paraId="195D6D4B" w14:textId="2D9DEF38" w:rsidR="001D039C" w:rsidRDefault="001D039C" w:rsidP="001D039C">
      <w:pPr>
        <w:pStyle w:val="Paragrafoelenco"/>
        <w:spacing w:line="360" w:lineRule="auto"/>
        <w:ind w:left="426" w:right="-1"/>
        <w:jc w:val="both"/>
        <w:rPr>
          <w:b/>
          <w:bCs/>
          <w:i/>
          <w:iCs/>
          <w:sz w:val="24"/>
          <w:szCs w:val="24"/>
        </w:rPr>
      </w:pPr>
      <w:r>
        <w:rPr>
          <w:b/>
          <w:bCs/>
          <w:sz w:val="24"/>
          <w:szCs w:val="24"/>
        </w:rPr>
        <w:t>A tal proposito, occorre precisare che, allo stato attuale</w:t>
      </w:r>
      <w:r w:rsidR="00131D3F">
        <w:rPr>
          <w:b/>
          <w:bCs/>
          <w:sz w:val="24"/>
          <w:szCs w:val="24"/>
        </w:rPr>
        <w:t xml:space="preserve">, </w:t>
      </w:r>
      <w:r>
        <w:rPr>
          <w:b/>
          <w:bCs/>
          <w:sz w:val="24"/>
          <w:szCs w:val="24"/>
        </w:rPr>
        <w:t xml:space="preserve">è possibile sostenere </w:t>
      </w:r>
      <w:r w:rsidR="00163951">
        <w:rPr>
          <w:b/>
          <w:bCs/>
          <w:sz w:val="24"/>
          <w:szCs w:val="24"/>
        </w:rPr>
        <w:t xml:space="preserve">che l’ampia discrezionalità </w:t>
      </w:r>
      <w:r w:rsidR="00131D3F">
        <w:rPr>
          <w:b/>
          <w:bCs/>
          <w:sz w:val="24"/>
          <w:szCs w:val="24"/>
        </w:rPr>
        <w:t>l</w:t>
      </w:r>
      <w:r w:rsidR="00163951">
        <w:rPr>
          <w:b/>
          <w:bCs/>
          <w:sz w:val="24"/>
          <w:szCs w:val="24"/>
        </w:rPr>
        <w:t>asciata ai giudici avrà bisogno di lunghe attese perché si maturi un pensiero uniforme</w:t>
      </w:r>
      <w:r w:rsidR="00485DDA">
        <w:rPr>
          <w:b/>
          <w:bCs/>
          <w:sz w:val="24"/>
          <w:szCs w:val="24"/>
        </w:rPr>
        <w:t>,</w:t>
      </w:r>
      <w:r w:rsidR="00163951">
        <w:rPr>
          <w:b/>
          <w:bCs/>
          <w:sz w:val="24"/>
          <w:szCs w:val="24"/>
        </w:rPr>
        <w:t xml:space="preserve"> con il rischio che si crei proprio il contrario del </w:t>
      </w:r>
      <w:r w:rsidR="00163951" w:rsidRPr="00163951">
        <w:rPr>
          <w:b/>
          <w:bCs/>
          <w:i/>
          <w:iCs/>
          <w:sz w:val="24"/>
          <w:szCs w:val="24"/>
        </w:rPr>
        <w:t>ne bis in idem</w:t>
      </w:r>
      <w:r w:rsidR="00163951">
        <w:rPr>
          <w:b/>
          <w:bCs/>
          <w:i/>
          <w:iCs/>
          <w:sz w:val="24"/>
          <w:szCs w:val="24"/>
        </w:rPr>
        <w:t>.</w:t>
      </w:r>
    </w:p>
    <w:p w14:paraId="35FBF969" w14:textId="6CA9F8E7" w:rsidR="00A82345" w:rsidRDefault="00A82345" w:rsidP="001D039C">
      <w:pPr>
        <w:pStyle w:val="Paragrafoelenco"/>
        <w:spacing w:line="360" w:lineRule="auto"/>
        <w:ind w:left="426" w:right="-1"/>
        <w:jc w:val="both"/>
        <w:rPr>
          <w:b/>
          <w:bCs/>
          <w:i/>
          <w:iCs/>
          <w:sz w:val="24"/>
          <w:szCs w:val="24"/>
        </w:rPr>
      </w:pPr>
    </w:p>
    <w:p w14:paraId="4FBEA603" w14:textId="77777777" w:rsidR="00F200C3" w:rsidRDefault="00F200C3" w:rsidP="001D039C">
      <w:pPr>
        <w:pStyle w:val="Paragrafoelenco"/>
        <w:spacing w:line="360" w:lineRule="auto"/>
        <w:ind w:left="426" w:right="-1"/>
        <w:jc w:val="both"/>
        <w:rPr>
          <w:b/>
          <w:bCs/>
          <w:i/>
          <w:iCs/>
          <w:sz w:val="24"/>
          <w:szCs w:val="24"/>
        </w:rPr>
      </w:pPr>
    </w:p>
    <w:p w14:paraId="406C9792" w14:textId="29D10D02" w:rsidR="002872EF" w:rsidRPr="002872EF" w:rsidRDefault="002872EF" w:rsidP="002872EF">
      <w:pPr>
        <w:pStyle w:val="Paragrafoelenco"/>
        <w:numPr>
          <w:ilvl w:val="0"/>
          <w:numId w:val="6"/>
        </w:numPr>
        <w:spacing w:line="360" w:lineRule="auto"/>
        <w:ind w:left="426" w:right="-1" w:hanging="426"/>
        <w:jc w:val="both"/>
        <w:rPr>
          <w:b/>
          <w:bCs/>
          <w:i/>
          <w:iCs/>
          <w:sz w:val="24"/>
          <w:szCs w:val="24"/>
        </w:rPr>
      </w:pPr>
      <w:r w:rsidRPr="002872EF">
        <w:rPr>
          <w:b/>
          <w:bCs/>
          <w:i/>
          <w:iCs/>
          <w:sz w:val="24"/>
          <w:szCs w:val="24"/>
        </w:rPr>
        <w:t>Articolo</w:t>
      </w:r>
      <w:r>
        <w:rPr>
          <w:b/>
          <w:bCs/>
          <w:i/>
          <w:iCs/>
          <w:sz w:val="24"/>
          <w:szCs w:val="24"/>
        </w:rPr>
        <w:t xml:space="preserve"> 13, comma 3, </w:t>
      </w:r>
      <w:r w:rsidRPr="002872EF">
        <w:rPr>
          <w:b/>
          <w:bCs/>
          <w:i/>
          <w:iCs/>
          <w:sz w:val="24"/>
          <w:szCs w:val="24"/>
        </w:rPr>
        <w:t>Decreto Legislativo n. 74/2000 dal 29.06.2024</w:t>
      </w:r>
    </w:p>
    <w:p w14:paraId="060382FC" w14:textId="61E2314D" w:rsidR="002872EF" w:rsidRPr="002872EF" w:rsidRDefault="002872EF" w:rsidP="002872EF">
      <w:pPr>
        <w:pStyle w:val="Paragrafoelenco"/>
        <w:spacing w:line="360" w:lineRule="auto"/>
        <w:ind w:left="426" w:right="-1"/>
        <w:jc w:val="center"/>
        <w:rPr>
          <w:b/>
          <w:bCs/>
          <w:i/>
          <w:iCs/>
          <w:sz w:val="24"/>
          <w:szCs w:val="24"/>
        </w:rPr>
      </w:pPr>
      <w:r>
        <w:rPr>
          <w:b/>
          <w:bCs/>
          <w:i/>
          <w:iCs/>
          <w:sz w:val="24"/>
          <w:szCs w:val="24"/>
        </w:rPr>
        <w:t>“</w:t>
      </w:r>
      <w:r w:rsidRPr="002872EF">
        <w:rPr>
          <w:b/>
          <w:bCs/>
          <w:i/>
          <w:iCs/>
          <w:sz w:val="24"/>
          <w:szCs w:val="24"/>
        </w:rPr>
        <w:t>Cause di non punibilità. Pagamento del debito tributario</w:t>
      </w:r>
    </w:p>
    <w:p w14:paraId="4FC4C04F" w14:textId="77777777" w:rsidR="002872EF" w:rsidRPr="002872EF" w:rsidRDefault="00EC1F0C" w:rsidP="002872EF">
      <w:pPr>
        <w:pStyle w:val="Paragrafoelenco"/>
        <w:spacing w:line="360" w:lineRule="auto"/>
        <w:ind w:left="426" w:right="-1"/>
        <w:jc w:val="both"/>
        <w:rPr>
          <w:b/>
          <w:bCs/>
          <w:i/>
          <w:iCs/>
          <w:sz w:val="24"/>
          <w:szCs w:val="24"/>
        </w:rPr>
      </w:pPr>
      <w:r>
        <w:rPr>
          <w:b/>
          <w:bCs/>
          <w:i/>
          <w:iCs/>
          <w:sz w:val="24"/>
          <w:szCs w:val="24"/>
        </w:rPr>
        <w:pict w14:anchorId="2D80C75A">
          <v:rect id="_x0000_i1030" style="width:0;height:1.5pt" o:hralign="center" o:hrstd="t" o:hr="t" fillcolor="#a0a0a0" stroked="f"/>
        </w:pict>
      </w:r>
    </w:p>
    <w:p w14:paraId="22ABA3A6" w14:textId="59D09412" w:rsidR="00507CBD" w:rsidRPr="002872EF" w:rsidRDefault="002872EF" w:rsidP="001D039C">
      <w:pPr>
        <w:pStyle w:val="Paragrafoelenco"/>
        <w:spacing w:line="360" w:lineRule="auto"/>
        <w:ind w:left="426" w:right="-1"/>
        <w:jc w:val="both"/>
        <w:rPr>
          <w:bCs/>
          <w:i/>
          <w:iCs/>
          <w:sz w:val="24"/>
          <w:szCs w:val="24"/>
        </w:rPr>
      </w:pPr>
      <w:r w:rsidRPr="002872EF">
        <w:rPr>
          <w:b/>
          <w:bCs/>
          <w:i/>
          <w:iCs/>
          <w:sz w:val="24"/>
          <w:szCs w:val="24"/>
        </w:rPr>
        <w:t>3.</w:t>
      </w:r>
      <w:r w:rsidRPr="002872EF">
        <w:rPr>
          <w:bCs/>
          <w:i/>
          <w:iCs/>
          <w:sz w:val="24"/>
          <w:szCs w:val="24"/>
        </w:rPr>
        <w:t xml:space="preserve"> Qualora, prima della dichiarazione di apertura del dibattimento di primo grado, il debito tributario sia in fase di estinzione mediante rateizzazione, è dato un termine di tre mesi per il pagamento del debito residuo. In tal caso la prescrizione è sospesa. Il Giudice ha facoltà di prorogare tale termine una sola volta per non oltre tre mesi, qualora lo ritenga necessario, ferma restando la sospensione della prescrizione.</w:t>
      </w:r>
      <w:r w:rsidR="003420E4">
        <w:rPr>
          <w:bCs/>
          <w:i/>
          <w:iCs/>
          <w:sz w:val="24"/>
          <w:szCs w:val="24"/>
        </w:rPr>
        <w:t>”</w:t>
      </w:r>
    </w:p>
    <w:p w14:paraId="19E27624" w14:textId="77777777" w:rsidR="00507CBD" w:rsidRDefault="00507CBD" w:rsidP="001D039C">
      <w:pPr>
        <w:pStyle w:val="Paragrafoelenco"/>
        <w:spacing w:line="360" w:lineRule="auto"/>
        <w:ind w:left="426" w:right="-1"/>
        <w:jc w:val="both"/>
        <w:rPr>
          <w:b/>
          <w:bCs/>
          <w:i/>
          <w:iCs/>
          <w:sz w:val="24"/>
          <w:szCs w:val="24"/>
        </w:rPr>
      </w:pPr>
    </w:p>
    <w:p w14:paraId="32C362A0" w14:textId="77777777" w:rsidR="00507CBD" w:rsidRDefault="00507CBD" w:rsidP="001D039C">
      <w:pPr>
        <w:pStyle w:val="Paragrafoelenco"/>
        <w:spacing w:line="360" w:lineRule="auto"/>
        <w:ind w:left="426" w:right="-1"/>
        <w:jc w:val="both"/>
        <w:rPr>
          <w:b/>
          <w:bCs/>
          <w:i/>
          <w:iCs/>
          <w:sz w:val="24"/>
          <w:szCs w:val="24"/>
        </w:rPr>
      </w:pPr>
    </w:p>
    <w:p w14:paraId="66D513F9" w14:textId="77777777" w:rsidR="001A6488" w:rsidRDefault="001A6488" w:rsidP="001D039C">
      <w:pPr>
        <w:pStyle w:val="Paragrafoelenco"/>
        <w:spacing w:line="360" w:lineRule="auto"/>
        <w:ind w:left="426" w:right="-1"/>
        <w:jc w:val="both"/>
        <w:rPr>
          <w:b/>
          <w:bCs/>
          <w:i/>
          <w:iCs/>
          <w:sz w:val="24"/>
          <w:szCs w:val="24"/>
        </w:rPr>
      </w:pPr>
    </w:p>
    <w:p w14:paraId="2AA38278" w14:textId="77777777" w:rsidR="001A6488" w:rsidRDefault="001A6488" w:rsidP="001D039C">
      <w:pPr>
        <w:pStyle w:val="Paragrafoelenco"/>
        <w:spacing w:line="360" w:lineRule="auto"/>
        <w:ind w:left="426" w:right="-1"/>
        <w:jc w:val="both"/>
        <w:rPr>
          <w:b/>
          <w:bCs/>
          <w:i/>
          <w:iCs/>
          <w:sz w:val="24"/>
          <w:szCs w:val="24"/>
        </w:rPr>
      </w:pPr>
    </w:p>
    <w:p w14:paraId="35C603F7" w14:textId="77777777" w:rsidR="001A6488" w:rsidRDefault="001A6488" w:rsidP="001D039C">
      <w:pPr>
        <w:pStyle w:val="Paragrafoelenco"/>
        <w:spacing w:line="360" w:lineRule="auto"/>
        <w:ind w:left="426" w:right="-1"/>
        <w:jc w:val="both"/>
        <w:rPr>
          <w:b/>
          <w:bCs/>
          <w:i/>
          <w:iCs/>
          <w:sz w:val="24"/>
          <w:szCs w:val="24"/>
        </w:rPr>
      </w:pPr>
    </w:p>
    <w:p w14:paraId="0908135A" w14:textId="77777777" w:rsidR="001A6488" w:rsidRDefault="001A6488" w:rsidP="001D039C">
      <w:pPr>
        <w:pStyle w:val="Paragrafoelenco"/>
        <w:spacing w:line="360" w:lineRule="auto"/>
        <w:ind w:left="426" w:right="-1"/>
        <w:jc w:val="both"/>
        <w:rPr>
          <w:b/>
          <w:bCs/>
          <w:i/>
          <w:iCs/>
          <w:sz w:val="24"/>
          <w:szCs w:val="24"/>
        </w:rPr>
      </w:pPr>
    </w:p>
    <w:p w14:paraId="123437BA" w14:textId="77777777" w:rsidR="001A6488" w:rsidRDefault="001A6488" w:rsidP="001D039C">
      <w:pPr>
        <w:pStyle w:val="Paragrafoelenco"/>
        <w:spacing w:line="360" w:lineRule="auto"/>
        <w:ind w:left="426" w:right="-1"/>
        <w:jc w:val="both"/>
        <w:rPr>
          <w:b/>
          <w:bCs/>
          <w:i/>
          <w:iCs/>
          <w:sz w:val="24"/>
          <w:szCs w:val="24"/>
        </w:rPr>
      </w:pPr>
    </w:p>
    <w:p w14:paraId="07B25C2E" w14:textId="77777777" w:rsidR="00485DDA" w:rsidRPr="00485DDA" w:rsidRDefault="00485DDA" w:rsidP="00485DDA">
      <w:pPr>
        <w:spacing w:line="360" w:lineRule="auto"/>
        <w:ind w:right="-1"/>
        <w:jc w:val="both"/>
        <w:rPr>
          <w:b/>
          <w:bCs/>
          <w:i/>
          <w:iCs/>
          <w:sz w:val="24"/>
          <w:szCs w:val="24"/>
        </w:rPr>
      </w:pPr>
    </w:p>
    <w:p w14:paraId="4085D4B8" w14:textId="693E7E3E" w:rsidR="00A82345" w:rsidRPr="005A1084" w:rsidRDefault="00A82345" w:rsidP="00D44BD1">
      <w:pPr>
        <w:spacing w:line="360" w:lineRule="auto"/>
        <w:contextualSpacing/>
        <w:jc w:val="center"/>
        <w:outlineLvl w:val="0"/>
        <w:rPr>
          <w:b/>
          <w:bCs/>
          <w:sz w:val="28"/>
          <w:szCs w:val="28"/>
          <w:highlight w:val="yellow"/>
          <w:u w:val="single"/>
        </w:rPr>
      </w:pPr>
      <w:bookmarkStart w:id="60" w:name="_Toc186711259"/>
      <w:bookmarkStart w:id="61" w:name="_Toc186717003"/>
      <w:bookmarkStart w:id="62" w:name="_Toc186793159"/>
      <w:bookmarkStart w:id="63" w:name="_Toc186808356"/>
      <w:bookmarkStart w:id="64" w:name="_Toc186993207"/>
      <w:bookmarkStart w:id="65" w:name="_Toc187062373"/>
      <w:bookmarkStart w:id="66" w:name="_Hlk186710990"/>
      <w:r w:rsidRPr="005A1084">
        <w:rPr>
          <w:b/>
          <w:bCs/>
          <w:sz w:val="28"/>
          <w:szCs w:val="28"/>
          <w:highlight w:val="yellow"/>
          <w:u w:val="single"/>
        </w:rPr>
        <w:lastRenderedPageBreak/>
        <w:t>PARTE TERZA</w:t>
      </w:r>
      <w:bookmarkEnd w:id="60"/>
      <w:bookmarkEnd w:id="61"/>
      <w:bookmarkEnd w:id="62"/>
      <w:bookmarkEnd w:id="63"/>
      <w:bookmarkEnd w:id="64"/>
      <w:bookmarkEnd w:id="65"/>
    </w:p>
    <w:p w14:paraId="0FF2C6C4" w14:textId="37035E0D" w:rsidR="00544B1B" w:rsidRPr="00BE7E5B" w:rsidRDefault="00A82345" w:rsidP="00D44BD1">
      <w:pPr>
        <w:spacing w:line="360" w:lineRule="auto"/>
        <w:contextualSpacing/>
        <w:jc w:val="center"/>
        <w:outlineLvl w:val="0"/>
        <w:rPr>
          <w:b/>
          <w:bCs/>
          <w:i/>
          <w:iCs/>
          <w:sz w:val="28"/>
          <w:szCs w:val="28"/>
        </w:rPr>
      </w:pPr>
      <w:bookmarkStart w:id="67" w:name="_Toc186711260"/>
      <w:bookmarkStart w:id="68" w:name="_Toc186717004"/>
      <w:bookmarkStart w:id="69" w:name="_Toc186793160"/>
      <w:bookmarkStart w:id="70" w:name="_Toc186808357"/>
      <w:bookmarkStart w:id="71" w:name="_Toc186993208"/>
      <w:bookmarkStart w:id="72" w:name="_Toc187062374"/>
      <w:r w:rsidRPr="005A1084">
        <w:rPr>
          <w:b/>
          <w:bCs/>
          <w:sz w:val="28"/>
          <w:szCs w:val="28"/>
          <w:highlight w:val="yellow"/>
        </w:rPr>
        <w:t>ODIERN</w:t>
      </w:r>
      <w:r w:rsidR="00F308EE">
        <w:rPr>
          <w:b/>
          <w:bCs/>
          <w:sz w:val="28"/>
          <w:szCs w:val="28"/>
          <w:highlight w:val="yellow"/>
        </w:rPr>
        <w:t>I CONTRASTI</w:t>
      </w:r>
      <w:r w:rsidR="00216E54">
        <w:rPr>
          <w:b/>
          <w:bCs/>
          <w:sz w:val="28"/>
          <w:szCs w:val="28"/>
          <w:highlight w:val="yellow"/>
        </w:rPr>
        <w:t xml:space="preserve">, CONFUSIONI E </w:t>
      </w:r>
      <w:r w:rsidRPr="005A1084">
        <w:rPr>
          <w:b/>
          <w:bCs/>
          <w:sz w:val="28"/>
          <w:szCs w:val="28"/>
          <w:highlight w:val="yellow"/>
        </w:rPr>
        <w:t xml:space="preserve">PROBLEMATICHE </w:t>
      </w:r>
      <w:r w:rsidR="00544B1B">
        <w:rPr>
          <w:b/>
          <w:bCs/>
          <w:sz w:val="28"/>
          <w:szCs w:val="28"/>
          <w:highlight w:val="yellow"/>
        </w:rPr>
        <w:t>PENALI</w:t>
      </w:r>
      <w:r w:rsidR="00216E54">
        <w:rPr>
          <w:b/>
          <w:bCs/>
          <w:sz w:val="28"/>
          <w:szCs w:val="28"/>
          <w:highlight w:val="yellow"/>
        </w:rPr>
        <w:t xml:space="preserve"> E</w:t>
      </w:r>
      <w:r w:rsidR="00544B1B">
        <w:rPr>
          <w:b/>
          <w:bCs/>
          <w:sz w:val="28"/>
          <w:szCs w:val="28"/>
          <w:highlight w:val="yellow"/>
        </w:rPr>
        <w:t xml:space="preserve"> TRIBUTARIE </w:t>
      </w:r>
      <w:r w:rsidRPr="005A1084">
        <w:rPr>
          <w:b/>
          <w:bCs/>
          <w:sz w:val="28"/>
          <w:szCs w:val="28"/>
          <w:highlight w:val="yellow"/>
        </w:rPr>
        <w:t xml:space="preserve">DEL </w:t>
      </w:r>
      <w:r w:rsidRPr="005A1084">
        <w:rPr>
          <w:b/>
          <w:bCs/>
          <w:i/>
          <w:iCs/>
          <w:sz w:val="28"/>
          <w:szCs w:val="28"/>
          <w:highlight w:val="yellow"/>
        </w:rPr>
        <w:t>NE BIS IN IDEM</w:t>
      </w:r>
      <w:bookmarkEnd w:id="67"/>
      <w:bookmarkEnd w:id="68"/>
      <w:bookmarkEnd w:id="69"/>
      <w:bookmarkEnd w:id="70"/>
      <w:bookmarkEnd w:id="71"/>
      <w:bookmarkEnd w:id="72"/>
    </w:p>
    <w:p w14:paraId="3C355DCF" w14:textId="015400BE" w:rsidR="00BE7E5B" w:rsidRDefault="00BE7E5B" w:rsidP="00D44BD1">
      <w:pPr>
        <w:pStyle w:val="Paragrafoelenco"/>
        <w:numPr>
          <w:ilvl w:val="0"/>
          <w:numId w:val="13"/>
        </w:numPr>
        <w:spacing w:line="360" w:lineRule="auto"/>
        <w:ind w:left="425" w:hanging="425"/>
        <w:outlineLvl w:val="1"/>
        <w:rPr>
          <w:b/>
          <w:bCs/>
          <w:sz w:val="24"/>
          <w:szCs w:val="24"/>
        </w:rPr>
      </w:pPr>
      <w:bookmarkStart w:id="73" w:name="_Toc186711261"/>
      <w:bookmarkStart w:id="74" w:name="_Toc186717005"/>
      <w:bookmarkStart w:id="75" w:name="_Toc186793161"/>
      <w:bookmarkStart w:id="76" w:name="_Toc186808358"/>
      <w:bookmarkStart w:id="77" w:name="_Toc186993209"/>
      <w:bookmarkStart w:id="78" w:name="_Toc187062375"/>
      <w:bookmarkEnd w:id="66"/>
      <w:r w:rsidRPr="00BE7E5B">
        <w:rPr>
          <w:b/>
          <w:bCs/>
          <w:sz w:val="24"/>
          <w:szCs w:val="24"/>
        </w:rPr>
        <w:t>QUATTRO CONCETTI DI OPERAZIONI INESISTENTI. INESISTENZA GIURIDICA</w:t>
      </w:r>
      <w:bookmarkEnd w:id="73"/>
      <w:bookmarkEnd w:id="74"/>
      <w:bookmarkEnd w:id="75"/>
      <w:bookmarkEnd w:id="76"/>
      <w:r w:rsidR="00216E54">
        <w:rPr>
          <w:b/>
          <w:bCs/>
          <w:sz w:val="24"/>
          <w:szCs w:val="24"/>
        </w:rPr>
        <w:t>. CONTRASTI CON LA CORTE UE</w:t>
      </w:r>
      <w:bookmarkEnd w:id="77"/>
      <w:bookmarkEnd w:id="78"/>
    </w:p>
    <w:p w14:paraId="602397F9" w14:textId="2DA477DE" w:rsidR="00BE7E5B" w:rsidRDefault="00BE7E5B" w:rsidP="00BE7E5B">
      <w:pPr>
        <w:spacing w:line="360" w:lineRule="auto"/>
        <w:ind w:right="-1"/>
        <w:rPr>
          <w:sz w:val="24"/>
          <w:szCs w:val="24"/>
        </w:rPr>
      </w:pPr>
      <w:r w:rsidRPr="00BE7E5B">
        <w:rPr>
          <w:sz w:val="24"/>
          <w:szCs w:val="24"/>
        </w:rPr>
        <w:t>L’art. 1</w:t>
      </w:r>
      <w:r>
        <w:rPr>
          <w:sz w:val="24"/>
          <w:szCs w:val="24"/>
        </w:rPr>
        <w:t xml:space="preserve">, primo comma, lettera a), decreto Legislativo n. 74/2000 ha stabilito che: </w:t>
      </w:r>
    </w:p>
    <w:p w14:paraId="5968BA99" w14:textId="763A449A" w:rsidR="00BE7E5B" w:rsidRPr="00BE7E5B" w:rsidRDefault="00BE7E5B" w:rsidP="00BE7E5B">
      <w:pPr>
        <w:spacing w:line="240" w:lineRule="auto"/>
        <w:ind w:left="567" w:right="849"/>
        <w:jc w:val="both"/>
        <w:rPr>
          <w:b/>
          <w:bCs/>
          <w:i/>
          <w:iCs/>
          <w:sz w:val="24"/>
          <w:szCs w:val="24"/>
        </w:rPr>
      </w:pPr>
      <w:r w:rsidRPr="00BE7E5B">
        <w:rPr>
          <w:i/>
          <w:iCs/>
          <w:sz w:val="24"/>
          <w:szCs w:val="24"/>
        </w:rPr>
        <w:t>“</w:t>
      </w:r>
      <w:r w:rsidRPr="00BE7E5B">
        <w:rPr>
          <w:b/>
          <w:bCs/>
          <w:i/>
          <w:iCs/>
        </w:rPr>
        <w:t>a)  per "fatture o altri documenti per operazioni inesistenti" si intendono le fatture o gli altri documenti aventi rilievo probatorio analogo in base alle norme tributarie, emessi a fronte di operazioni non realmente effettuate in tutto o in parte o che indicano i corrispettivi o l'imposta sul valore aggiunto in misura superiore a quella reale, ovvero che riferiscono l'operazione a soggetti diversi da quelli effettivi;”</w:t>
      </w:r>
    </w:p>
    <w:p w14:paraId="344B805B" w14:textId="7BE2858B" w:rsidR="00544B1B" w:rsidRPr="003B05C3" w:rsidRDefault="00BE7E5B" w:rsidP="005F595A">
      <w:pPr>
        <w:spacing w:line="360" w:lineRule="auto"/>
        <w:ind w:right="-1"/>
        <w:contextualSpacing/>
        <w:jc w:val="both"/>
        <w:rPr>
          <w:b/>
          <w:bCs/>
          <w:sz w:val="24"/>
          <w:szCs w:val="24"/>
        </w:rPr>
      </w:pPr>
      <w:r w:rsidRPr="00BE7E5B">
        <w:rPr>
          <w:sz w:val="24"/>
          <w:szCs w:val="24"/>
        </w:rPr>
        <w:t xml:space="preserve">Alla </w:t>
      </w:r>
      <w:r>
        <w:rPr>
          <w:sz w:val="24"/>
          <w:szCs w:val="24"/>
        </w:rPr>
        <w:t xml:space="preserve">suddetta </w:t>
      </w:r>
      <w:r w:rsidR="00AD4624">
        <w:rPr>
          <w:sz w:val="24"/>
          <w:szCs w:val="24"/>
        </w:rPr>
        <w:t>tripartizione del concetto di operazione “inesistente” (cioè, oggettiva, soggettiva e sovrafatturazione)</w:t>
      </w:r>
      <w:r w:rsidR="006F1F98">
        <w:rPr>
          <w:sz w:val="24"/>
          <w:szCs w:val="24"/>
        </w:rPr>
        <w:t xml:space="preserve"> la giurisprudenza ha aggiunto anche la </w:t>
      </w:r>
      <w:r w:rsidR="006F1F98" w:rsidRPr="003B05C3">
        <w:rPr>
          <w:b/>
          <w:bCs/>
          <w:sz w:val="24"/>
          <w:szCs w:val="24"/>
        </w:rPr>
        <w:t>c.d. inesistenza giuridica</w:t>
      </w:r>
      <w:r w:rsidR="005F595A">
        <w:rPr>
          <w:sz w:val="24"/>
          <w:szCs w:val="24"/>
        </w:rPr>
        <w:t xml:space="preserve">, così come stabilito dalla </w:t>
      </w:r>
      <w:r w:rsidR="005F595A" w:rsidRPr="0085529B">
        <w:rPr>
          <w:b/>
          <w:bCs/>
          <w:sz w:val="24"/>
          <w:szCs w:val="24"/>
        </w:rPr>
        <w:t xml:space="preserve">Corte di Cassazione </w:t>
      </w:r>
      <w:r w:rsidR="0085529B" w:rsidRPr="0085529B">
        <w:rPr>
          <w:b/>
          <w:bCs/>
          <w:sz w:val="24"/>
          <w:szCs w:val="24"/>
        </w:rPr>
        <w:t>– Terza Sezione Penale – con la sentenza n. 45114/2022</w:t>
      </w:r>
      <w:r w:rsidR="0085529B" w:rsidRPr="003B05C3">
        <w:rPr>
          <w:b/>
          <w:bCs/>
          <w:sz w:val="24"/>
          <w:szCs w:val="24"/>
        </w:rPr>
        <w:t>, secondo la quale</w:t>
      </w:r>
      <w:r w:rsidR="003B05C3" w:rsidRPr="003B05C3">
        <w:rPr>
          <w:b/>
          <w:bCs/>
          <w:sz w:val="24"/>
          <w:szCs w:val="24"/>
        </w:rPr>
        <w:t>, ai fini II.DD, IRAP ed IVA</w:t>
      </w:r>
      <w:r w:rsidR="0085529B" w:rsidRPr="003B05C3">
        <w:rPr>
          <w:b/>
          <w:bCs/>
          <w:sz w:val="24"/>
          <w:szCs w:val="24"/>
        </w:rPr>
        <w:t xml:space="preserve">: </w:t>
      </w:r>
    </w:p>
    <w:p w14:paraId="305105F8" w14:textId="0EA125F4" w:rsidR="00544B1B" w:rsidRDefault="0085529B" w:rsidP="00736075">
      <w:pPr>
        <w:spacing w:line="240" w:lineRule="auto"/>
        <w:ind w:left="567" w:right="849"/>
        <w:contextualSpacing/>
        <w:jc w:val="both"/>
        <w:rPr>
          <w:i/>
          <w:iCs/>
          <w:sz w:val="24"/>
          <w:szCs w:val="24"/>
        </w:rPr>
      </w:pPr>
      <w:r w:rsidRPr="0085529B">
        <w:rPr>
          <w:i/>
          <w:iCs/>
          <w:sz w:val="24"/>
          <w:szCs w:val="24"/>
        </w:rPr>
        <w:t>“In linea generale, del resto, pu</w:t>
      </w:r>
      <w:r w:rsidR="00711BED">
        <w:rPr>
          <w:i/>
          <w:iCs/>
          <w:sz w:val="24"/>
          <w:szCs w:val="24"/>
        </w:rPr>
        <w:t>ò</w:t>
      </w:r>
      <w:r w:rsidRPr="0085529B">
        <w:rPr>
          <w:i/>
          <w:iCs/>
          <w:sz w:val="24"/>
          <w:szCs w:val="24"/>
        </w:rPr>
        <w:t xml:space="preserve"> osservarsi che la giurisprudenza civile di legittimit</w:t>
      </w:r>
      <w:r w:rsidR="00711BED">
        <w:rPr>
          <w:i/>
          <w:iCs/>
          <w:sz w:val="24"/>
          <w:szCs w:val="24"/>
        </w:rPr>
        <w:t xml:space="preserve">à </w:t>
      </w:r>
      <w:r w:rsidRPr="0085529B">
        <w:rPr>
          <w:i/>
          <w:iCs/>
          <w:sz w:val="24"/>
          <w:szCs w:val="24"/>
        </w:rPr>
        <w:t>esclude la deducibilit</w:t>
      </w:r>
      <w:r w:rsidR="00711BED">
        <w:rPr>
          <w:i/>
          <w:iCs/>
          <w:sz w:val="24"/>
          <w:szCs w:val="24"/>
        </w:rPr>
        <w:t>à</w:t>
      </w:r>
      <w:r w:rsidRPr="0085529B">
        <w:rPr>
          <w:i/>
          <w:iCs/>
          <w:sz w:val="24"/>
          <w:szCs w:val="24"/>
        </w:rPr>
        <w:t xml:space="preserve"> di costi derivanti da contratti nulli ai fini della determinazione delle imposte sui redditi. In particolare, infatti, si afferma che, in tema di reddito d'impresa, non</w:t>
      </w:r>
      <w:r w:rsidR="00711BED">
        <w:rPr>
          <w:i/>
          <w:iCs/>
          <w:sz w:val="24"/>
          <w:szCs w:val="24"/>
        </w:rPr>
        <w:t xml:space="preserve"> è</w:t>
      </w:r>
      <w:r w:rsidRPr="0085529B">
        <w:rPr>
          <w:i/>
          <w:iCs/>
          <w:sz w:val="24"/>
          <w:szCs w:val="24"/>
        </w:rPr>
        <w:t xml:space="preserve"> deducibile la spesa sostenuta dalla s.r.l. contribuente per i compensi agli amministratori ove invalidamente deliberata, secondo la disciplina applicabile, in sede di approvazione del bilancio, difettando in tal caso i requisiti di certezza e di oggettiva determinabilit</w:t>
      </w:r>
      <w:r w:rsidR="00711BED">
        <w:rPr>
          <w:i/>
          <w:iCs/>
          <w:sz w:val="24"/>
          <w:szCs w:val="24"/>
        </w:rPr>
        <w:t xml:space="preserve">à </w:t>
      </w:r>
      <w:r w:rsidRPr="0085529B">
        <w:rPr>
          <w:i/>
          <w:iCs/>
          <w:sz w:val="24"/>
          <w:szCs w:val="24"/>
        </w:rPr>
        <w:t>dell'ammontare del costo di cui all'articolo 109 (</w:t>
      </w:r>
      <w:proofErr w:type="spellStart"/>
      <w:r w:rsidRPr="0085529B">
        <w:rPr>
          <w:i/>
          <w:iCs/>
          <w:sz w:val="24"/>
          <w:szCs w:val="24"/>
        </w:rPr>
        <w:t>gia'</w:t>
      </w:r>
      <w:proofErr w:type="spellEnd"/>
      <w:r w:rsidRPr="0085529B">
        <w:rPr>
          <w:i/>
          <w:iCs/>
          <w:sz w:val="24"/>
          <w:szCs w:val="24"/>
        </w:rPr>
        <w:t xml:space="preserve"> 75) del Decreto del Presidente della Repubblica n. 917 del 1986 (</w:t>
      </w:r>
      <w:proofErr w:type="spellStart"/>
      <w:r w:rsidRPr="0085529B">
        <w:rPr>
          <w:i/>
          <w:iCs/>
          <w:sz w:val="24"/>
          <w:szCs w:val="24"/>
        </w:rPr>
        <w:t>cosi'</w:t>
      </w:r>
      <w:proofErr w:type="spellEnd"/>
      <w:r w:rsidRPr="003B05C3">
        <w:rPr>
          <w:b/>
          <w:bCs/>
          <w:i/>
          <w:iCs/>
          <w:sz w:val="24"/>
          <w:szCs w:val="24"/>
        </w:rPr>
        <w:t>, in particolare, Sez. 5 civ., n. 21953 del 28/10/2015, Rv. 636925-01, e Sez. 6-5 civ., n. 8210 del 30/03/2017, Rv. 643637-01</w:t>
      </w:r>
      <w:r w:rsidRPr="0085529B">
        <w:rPr>
          <w:i/>
          <w:iCs/>
          <w:sz w:val="24"/>
          <w:szCs w:val="24"/>
        </w:rPr>
        <w:t>).”</w:t>
      </w:r>
      <w:r w:rsidR="00711BED">
        <w:rPr>
          <w:i/>
          <w:iCs/>
          <w:sz w:val="24"/>
          <w:szCs w:val="24"/>
        </w:rPr>
        <w:t>;</w:t>
      </w:r>
    </w:p>
    <w:p w14:paraId="6779BD1A" w14:textId="77777777" w:rsidR="00711BED" w:rsidRDefault="00711BED" w:rsidP="00736075">
      <w:pPr>
        <w:spacing w:line="240" w:lineRule="auto"/>
        <w:ind w:left="567" w:right="849"/>
        <w:contextualSpacing/>
        <w:jc w:val="both"/>
        <w:rPr>
          <w:i/>
          <w:iCs/>
          <w:sz w:val="24"/>
          <w:szCs w:val="24"/>
        </w:rPr>
      </w:pPr>
    </w:p>
    <w:p w14:paraId="2C0A8541" w14:textId="715BB64B" w:rsidR="00711BED" w:rsidRPr="00711BED" w:rsidRDefault="00711BED" w:rsidP="00711BED">
      <w:pPr>
        <w:spacing w:line="240" w:lineRule="auto"/>
        <w:ind w:left="567" w:right="849"/>
        <w:contextualSpacing/>
        <w:jc w:val="both"/>
        <w:rPr>
          <w:b/>
          <w:bCs/>
          <w:i/>
          <w:iCs/>
          <w:sz w:val="24"/>
          <w:szCs w:val="24"/>
        </w:rPr>
      </w:pPr>
      <w:r>
        <w:rPr>
          <w:i/>
          <w:iCs/>
          <w:sz w:val="24"/>
          <w:szCs w:val="24"/>
        </w:rPr>
        <w:t>“</w:t>
      </w:r>
      <w:r w:rsidRPr="00711BED">
        <w:rPr>
          <w:b/>
          <w:bCs/>
          <w:i/>
          <w:iCs/>
          <w:sz w:val="24"/>
          <w:szCs w:val="24"/>
        </w:rPr>
        <w:t xml:space="preserve">Ai fini dell'esame della questione, appare utile osservare, innanzitutto, che, come </w:t>
      </w:r>
      <w:proofErr w:type="spellStart"/>
      <w:r w:rsidRPr="00711BED">
        <w:rPr>
          <w:b/>
          <w:bCs/>
          <w:i/>
          <w:iCs/>
          <w:sz w:val="24"/>
          <w:szCs w:val="24"/>
        </w:rPr>
        <w:t>piu'</w:t>
      </w:r>
      <w:proofErr w:type="spellEnd"/>
      <w:r w:rsidRPr="00711BED">
        <w:rPr>
          <w:b/>
          <w:bCs/>
          <w:i/>
          <w:iCs/>
          <w:sz w:val="24"/>
          <w:szCs w:val="24"/>
        </w:rPr>
        <w:t xml:space="preserve"> volte affermato dalla giurisprudenza, fatture per operazioni inesistenti sono anche "quelle che si connettono, ad esempio, al compimento di un negozio giuridico apparente diverso da quello realmente intercorso tra le parti (inesistenza giuridica per simulazione relativa)" (cfr., in particolare, Sez. 3, n. 1996 del 25/10/2007, </w:t>
      </w:r>
      <w:proofErr w:type="spellStart"/>
      <w:r w:rsidRPr="00711BED">
        <w:rPr>
          <w:b/>
          <w:bCs/>
          <w:i/>
          <w:iCs/>
          <w:sz w:val="24"/>
          <w:szCs w:val="24"/>
        </w:rPr>
        <w:t>dep</w:t>
      </w:r>
      <w:proofErr w:type="spellEnd"/>
      <w:r w:rsidRPr="00711BED">
        <w:rPr>
          <w:b/>
          <w:bCs/>
          <w:i/>
          <w:iCs/>
          <w:sz w:val="24"/>
          <w:szCs w:val="24"/>
        </w:rPr>
        <w:t xml:space="preserve">. 2008, Figura, Rv. 238547-01, e Sez. 3, n. 1998 del 15/11/2019, </w:t>
      </w:r>
      <w:proofErr w:type="spellStart"/>
      <w:r w:rsidRPr="00711BED">
        <w:rPr>
          <w:b/>
          <w:bCs/>
          <w:i/>
          <w:iCs/>
          <w:sz w:val="24"/>
          <w:szCs w:val="24"/>
        </w:rPr>
        <w:t>dep</w:t>
      </w:r>
      <w:proofErr w:type="spellEnd"/>
      <w:r w:rsidRPr="00711BED">
        <w:rPr>
          <w:b/>
          <w:bCs/>
          <w:i/>
          <w:iCs/>
          <w:sz w:val="24"/>
          <w:szCs w:val="24"/>
        </w:rPr>
        <w:t>. 2020, Moiseev, Rv. 278378-01).</w:t>
      </w:r>
    </w:p>
    <w:p w14:paraId="5C79069E" w14:textId="666D53F4" w:rsidR="00711BED" w:rsidRPr="00711BED" w:rsidRDefault="00711BED" w:rsidP="00711BED">
      <w:pPr>
        <w:spacing w:line="240" w:lineRule="auto"/>
        <w:ind w:left="567" w:right="849"/>
        <w:contextualSpacing/>
        <w:jc w:val="both"/>
        <w:rPr>
          <w:i/>
          <w:iCs/>
          <w:sz w:val="24"/>
          <w:szCs w:val="24"/>
        </w:rPr>
      </w:pPr>
      <w:r w:rsidRPr="00711BED">
        <w:rPr>
          <w:i/>
          <w:iCs/>
          <w:sz w:val="24"/>
          <w:szCs w:val="24"/>
        </w:rPr>
        <w:t>A fondamento di questa conclusione si muove dalla disposizione di cui al Decreto Legislativo n. 74 del 2000, articolo 1, comma 1, lettera a), secondo il quale per fatture o altri documenti per operazioni inesistenti si intendono quelli "emessi a fronte di operazioni non realmente effettuate in tutto o in parte o che indicano i corrispettivi o l'imposta sul valore aggiunto in misura superiore a quella reale, ovvero che riferiscono l'operazione a soggetti diversi da quelli effettivi".</w:t>
      </w:r>
    </w:p>
    <w:p w14:paraId="29FFCA25" w14:textId="2437B6AA" w:rsidR="00711BED" w:rsidRPr="00711BED" w:rsidRDefault="00711BED" w:rsidP="00711BED">
      <w:pPr>
        <w:spacing w:line="240" w:lineRule="auto"/>
        <w:ind w:left="567" w:right="849"/>
        <w:contextualSpacing/>
        <w:jc w:val="both"/>
        <w:rPr>
          <w:i/>
          <w:iCs/>
          <w:sz w:val="24"/>
          <w:szCs w:val="24"/>
        </w:rPr>
      </w:pPr>
      <w:r w:rsidRPr="00711BED">
        <w:rPr>
          <w:i/>
          <w:iCs/>
          <w:sz w:val="24"/>
          <w:szCs w:val="24"/>
        </w:rPr>
        <w:t xml:space="preserve">Sulla base di questa previsione normativa, precisamente, si </w:t>
      </w:r>
      <w:proofErr w:type="spellStart"/>
      <w:r w:rsidRPr="00711BED">
        <w:rPr>
          <w:i/>
          <w:iCs/>
          <w:sz w:val="24"/>
          <w:szCs w:val="24"/>
        </w:rPr>
        <w:t>e'</w:t>
      </w:r>
      <w:proofErr w:type="spellEnd"/>
      <w:r w:rsidRPr="00711BED">
        <w:rPr>
          <w:i/>
          <w:iCs/>
          <w:sz w:val="24"/>
          <w:szCs w:val="24"/>
        </w:rPr>
        <w:t xml:space="preserve"> affermato da tempo il "principio secondo il quale oggetto della sanzione di cui al Decreto Legislativo n. 74 del 2000, articolo 2 </w:t>
      </w:r>
      <w:proofErr w:type="spellStart"/>
      <w:r w:rsidRPr="00665BC5">
        <w:rPr>
          <w:b/>
          <w:i/>
          <w:iCs/>
          <w:sz w:val="24"/>
          <w:szCs w:val="24"/>
        </w:rPr>
        <w:t>e'</w:t>
      </w:r>
      <w:proofErr w:type="spellEnd"/>
      <w:r w:rsidRPr="00665BC5">
        <w:rPr>
          <w:b/>
          <w:i/>
          <w:iCs/>
          <w:sz w:val="24"/>
          <w:szCs w:val="24"/>
        </w:rPr>
        <w:t xml:space="preserve"> ogni tipo di divergenza tra la </w:t>
      </w:r>
      <w:proofErr w:type="spellStart"/>
      <w:r w:rsidRPr="00665BC5">
        <w:rPr>
          <w:b/>
          <w:i/>
          <w:iCs/>
          <w:sz w:val="24"/>
          <w:szCs w:val="24"/>
        </w:rPr>
        <w:t>realta'</w:t>
      </w:r>
      <w:proofErr w:type="spellEnd"/>
      <w:r w:rsidRPr="00665BC5">
        <w:rPr>
          <w:b/>
          <w:i/>
          <w:iCs/>
          <w:sz w:val="24"/>
          <w:szCs w:val="24"/>
        </w:rPr>
        <w:t xml:space="preserve"> commerciale e la sua </w:t>
      </w:r>
      <w:r w:rsidRPr="00665BC5">
        <w:rPr>
          <w:b/>
          <w:i/>
          <w:iCs/>
          <w:sz w:val="24"/>
          <w:szCs w:val="24"/>
        </w:rPr>
        <w:lastRenderedPageBreak/>
        <w:t xml:space="preserve">espressione documentale, tenuto conto dello speciale coefficiente di </w:t>
      </w:r>
      <w:proofErr w:type="spellStart"/>
      <w:r w:rsidRPr="00665BC5">
        <w:rPr>
          <w:b/>
          <w:i/>
          <w:iCs/>
          <w:sz w:val="24"/>
          <w:szCs w:val="24"/>
        </w:rPr>
        <w:t>insidiosita'</w:t>
      </w:r>
      <w:proofErr w:type="spellEnd"/>
      <w:r w:rsidRPr="00665BC5">
        <w:rPr>
          <w:b/>
          <w:i/>
          <w:iCs/>
          <w:sz w:val="24"/>
          <w:szCs w:val="24"/>
        </w:rPr>
        <w:t xml:space="preserve"> che si connette all'utilizzazione della falsa fattura"</w:t>
      </w:r>
      <w:r w:rsidRPr="00711BED">
        <w:rPr>
          <w:i/>
          <w:iCs/>
          <w:sz w:val="24"/>
          <w:szCs w:val="24"/>
        </w:rPr>
        <w:t xml:space="preserve"> (</w:t>
      </w:r>
      <w:proofErr w:type="spellStart"/>
      <w:r w:rsidRPr="00665BC5">
        <w:rPr>
          <w:b/>
          <w:i/>
          <w:iCs/>
          <w:sz w:val="24"/>
          <w:szCs w:val="24"/>
        </w:rPr>
        <w:t>cosi'</w:t>
      </w:r>
      <w:proofErr w:type="spellEnd"/>
      <w:r w:rsidRPr="00665BC5">
        <w:rPr>
          <w:b/>
          <w:i/>
          <w:iCs/>
          <w:sz w:val="24"/>
          <w:szCs w:val="24"/>
        </w:rPr>
        <w:t xml:space="preserve">, in motivazione </w:t>
      </w:r>
      <w:r w:rsidRPr="00665BC5">
        <w:rPr>
          <w:b/>
          <w:bCs/>
          <w:i/>
          <w:iCs/>
          <w:sz w:val="24"/>
          <w:szCs w:val="24"/>
        </w:rPr>
        <w:t xml:space="preserve">§3 dei Motivi della Decisione, Sez. 3, n. 1996 del 25/10/2007, </w:t>
      </w:r>
      <w:proofErr w:type="spellStart"/>
      <w:r w:rsidRPr="00665BC5">
        <w:rPr>
          <w:b/>
          <w:bCs/>
          <w:i/>
          <w:iCs/>
          <w:sz w:val="24"/>
          <w:szCs w:val="24"/>
        </w:rPr>
        <w:t>dep</w:t>
      </w:r>
      <w:proofErr w:type="spellEnd"/>
      <w:r w:rsidRPr="003B05C3">
        <w:rPr>
          <w:b/>
          <w:bCs/>
          <w:i/>
          <w:iCs/>
          <w:sz w:val="24"/>
          <w:szCs w:val="24"/>
        </w:rPr>
        <w:t>. 2008, Figura, Rv. 238547-01</w:t>
      </w:r>
      <w:r w:rsidRPr="00711BED">
        <w:rPr>
          <w:i/>
          <w:iCs/>
          <w:sz w:val="24"/>
          <w:szCs w:val="24"/>
        </w:rPr>
        <w:t>).</w:t>
      </w:r>
    </w:p>
    <w:p w14:paraId="54FAB2C0" w14:textId="77777777" w:rsidR="00711BED" w:rsidRPr="00711BED" w:rsidRDefault="00711BED" w:rsidP="00711BED">
      <w:pPr>
        <w:spacing w:line="240" w:lineRule="auto"/>
        <w:ind w:right="849"/>
        <w:contextualSpacing/>
        <w:jc w:val="both"/>
        <w:rPr>
          <w:i/>
          <w:iCs/>
          <w:sz w:val="24"/>
          <w:szCs w:val="24"/>
        </w:rPr>
      </w:pPr>
    </w:p>
    <w:p w14:paraId="3D21180D" w14:textId="2E01F276" w:rsidR="00736075" w:rsidRDefault="00711BED" w:rsidP="00711BED">
      <w:pPr>
        <w:spacing w:line="240" w:lineRule="auto"/>
        <w:ind w:left="567" w:right="849"/>
        <w:contextualSpacing/>
        <w:jc w:val="both"/>
        <w:rPr>
          <w:i/>
          <w:iCs/>
          <w:sz w:val="24"/>
          <w:szCs w:val="24"/>
        </w:rPr>
      </w:pPr>
      <w:r w:rsidRPr="00711BED">
        <w:rPr>
          <w:i/>
          <w:iCs/>
          <w:sz w:val="24"/>
          <w:szCs w:val="24"/>
        </w:rPr>
        <w:t xml:space="preserve">E, </w:t>
      </w:r>
      <w:proofErr w:type="spellStart"/>
      <w:r w:rsidRPr="00711BED">
        <w:rPr>
          <w:i/>
          <w:iCs/>
          <w:sz w:val="24"/>
          <w:szCs w:val="24"/>
        </w:rPr>
        <w:t>piu'</w:t>
      </w:r>
      <w:proofErr w:type="spellEnd"/>
      <w:r w:rsidRPr="00711BED">
        <w:rPr>
          <w:i/>
          <w:iCs/>
          <w:sz w:val="24"/>
          <w:szCs w:val="24"/>
        </w:rPr>
        <w:t xml:space="preserve"> di recente, si </w:t>
      </w:r>
      <w:proofErr w:type="spellStart"/>
      <w:r w:rsidRPr="00711BED">
        <w:rPr>
          <w:i/>
          <w:iCs/>
          <w:sz w:val="24"/>
          <w:szCs w:val="24"/>
        </w:rPr>
        <w:t>e'</w:t>
      </w:r>
      <w:proofErr w:type="spellEnd"/>
      <w:r w:rsidRPr="00711BED">
        <w:rPr>
          <w:i/>
          <w:iCs/>
          <w:sz w:val="24"/>
          <w:szCs w:val="24"/>
        </w:rPr>
        <w:t xml:space="preserve"> ribadito e puntualizzato: "La fattura, al pari di tutti gli elementi equipollenti, deve contenere </w:t>
      </w:r>
      <w:r w:rsidRPr="00AF5743">
        <w:rPr>
          <w:b/>
          <w:i/>
          <w:iCs/>
          <w:sz w:val="24"/>
          <w:szCs w:val="24"/>
        </w:rPr>
        <w:t>una rappresentazione veritiera</w:t>
      </w:r>
      <w:r w:rsidRPr="00711BED">
        <w:rPr>
          <w:i/>
          <w:iCs/>
          <w:sz w:val="24"/>
          <w:szCs w:val="24"/>
        </w:rPr>
        <w:t xml:space="preserve"> di tutti gli elementi in grado di incidere su aspetti fiscalmente rilevanti, </w:t>
      </w:r>
      <w:r w:rsidRPr="003B05C3">
        <w:rPr>
          <w:b/>
          <w:bCs/>
          <w:i/>
          <w:iCs/>
          <w:sz w:val="24"/>
          <w:szCs w:val="24"/>
        </w:rPr>
        <w:t xml:space="preserve">sicche' assume rilevanza anche l'inesistenza giuridica, la quale si verifica ogniqualvolta la divergenza tra </w:t>
      </w:r>
      <w:proofErr w:type="spellStart"/>
      <w:r w:rsidRPr="003B05C3">
        <w:rPr>
          <w:b/>
          <w:bCs/>
          <w:i/>
          <w:iCs/>
          <w:sz w:val="24"/>
          <w:szCs w:val="24"/>
        </w:rPr>
        <w:t>realta'</w:t>
      </w:r>
      <w:proofErr w:type="spellEnd"/>
      <w:r w:rsidRPr="003B05C3">
        <w:rPr>
          <w:b/>
          <w:bCs/>
          <w:i/>
          <w:iCs/>
          <w:sz w:val="24"/>
          <w:szCs w:val="24"/>
        </w:rPr>
        <w:t xml:space="preserve"> e rappresentazione riguardi la natura della prestazione documentata in fattura</w:t>
      </w:r>
      <w:r w:rsidRPr="00711BED">
        <w:rPr>
          <w:i/>
          <w:iCs/>
          <w:sz w:val="24"/>
          <w:szCs w:val="24"/>
        </w:rPr>
        <w:t xml:space="preserve"> (</w:t>
      </w:r>
      <w:proofErr w:type="spellStart"/>
      <w:r w:rsidRPr="00711BED">
        <w:rPr>
          <w:i/>
          <w:iCs/>
          <w:sz w:val="24"/>
          <w:szCs w:val="24"/>
        </w:rPr>
        <w:t>e'</w:t>
      </w:r>
      <w:proofErr w:type="spellEnd"/>
      <w:r w:rsidRPr="00711BED">
        <w:rPr>
          <w:i/>
          <w:iCs/>
          <w:sz w:val="24"/>
          <w:szCs w:val="24"/>
        </w:rPr>
        <w:t xml:space="preserve"> il caso in cui l'oggetto del negozio giuridico indicato sia diverso da quello effettivamente realizzato) con </w:t>
      </w:r>
      <w:proofErr w:type="spellStart"/>
      <w:r w:rsidRPr="00711BED">
        <w:rPr>
          <w:i/>
          <w:iCs/>
          <w:sz w:val="24"/>
          <w:szCs w:val="24"/>
        </w:rPr>
        <w:t>cio'</w:t>
      </w:r>
      <w:proofErr w:type="spellEnd"/>
      <w:r w:rsidRPr="00711BED">
        <w:rPr>
          <w:i/>
          <w:iCs/>
          <w:sz w:val="24"/>
          <w:szCs w:val="24"/>
        </w:rPr>
        <w:t xml:space="preserve"> determinandosi una alterazione del contenuto del documento contabile" (</w:t>
      </w:r>
      <w:proofErr w:type="spellStart"/>
      <w:r w:rsidRPr="003B05C3">
        <w:rPr>
          <w:b/>
          <w:bCs/>
          <w:i/>
          <w:iCs/>
          <w:sz w:val="24"/>
          <w:szCs w:val="24"/>
        </w:rPr>
        <w:t>cosi'</w:t>
      </w:r>
      <w:proofErr w:type="spellEnd"/>
      <w:r w:rsidRPr="003B05C3">
        <w:rPr>
          <w:b/>
          <w:bCs/>
          <w:i/>
          <w:iCs/>
          <w:sz w:val="24"/>
          <w:szCs w:val="24"/>
        </w:rPr>
        <w:t xml:space="preserve">, in motivazione, § 3 del Considerato in Diritto, Sez. 3, n. 1998 del 15/11/2019, </w:t>
      </w:r>
      <w:proofErr w:type="spellStart"/>
      <w:r w:rsidRPr="003B05C3">
        <w:rPr>
          <w:b/>
          <w:bCs/>
          <w:i/>
          <w:iCs/>
          <w:sz w:val="24"/>
          <w:szCs w:val="24"/>
        </w:rPr>
        <w:t>dep</w:t>
      </w:r>
      <w:proofErr w:type="spellEnd"/>
      <w:r w:rsidRPr="003B05C3">
        <w:rPr>
          <w:b/>
          <w:bCs/>
          <w:i/>
          <w:iCs/>
          <w:sz w:val="24"/>
          <w:szCs w:val="24"/>
        </w:rPr>
        <w:t>. 2020, Moiseev, Rv. 278378-01</w:t>
      </w:r>
      <w:r w:rsidRPr="00711BED">
        <w:rPr>
          <w:i/>
          <w:iCs/>
          <w:sz w:val="24"/>
          <w:szCs w:val="24"/>
        </w:rPr>
        <w:t>).</w:t>
      </w:r>
      <w:r>
        <w:rPr>
          <w:i/>
          <w:iCs/>
          <w:sz w:val="24"/>
          <w:szCs w:val="24"/>
        </w:rPr>
        <w:t>”</w:t>
      </w:r>
    </w:p>
    <w:p w14:paraId="0B13EB0D" w14:textId="77777777" w:rsidR="00711BED" w:rsidRPr="00736075" w:rsidRDefault="00711BED" w:rsidP="00736075">
      <w:pPr>
        <w:spacing w:line="240" w:lineRule="auto"/>
        <w:ind w:left="567" w:right="849"/>
        <w:contextualSpacing/>
        <w:jc w:val="both"/>
        <w:rPr>
          <w:i/>
          <w:iCs/>
          <w:sz w:val="24"/>
          <w:szCs w:val="24"/>
        </w:rPr>
      </w:pPr>
    </w:p>
    <w:p w14:paraId="01BBCC69" w14:textId="06FA870D" w:rsidR="003B05C3" w:rsidRPr="00D74D83" w:rsidRDefault="003B05C3" w:rsidP="00736075">
      <w:pPr>
        <w:spacing w:line="360" w:lineRule="auto"/>
        <w:ind w:right="-1"/>
        <w:contextualSpacing/>
        <w:jc w:val="both"/>
        <w:rPr>
          <w:b/>
          <w:bCs/>
          <w:sz w:val="24"/>
          <w:szCs w:val="24"/>
        </w:rPr>
      </w:pPr>
      <w:r w:rsidRPr="00D74D83">
        <w:rPr>
          <w:b/>
          <w:bCs/>
          <w:sz w:val="24"/>
          <w:szCs w:val="24"/>
        </w:rPr>
        <w:t>Nello stesso senso, le seguenti sentenze della Corte di Cassazione – Sezione Terza Penale:</w:t>
      </w:r>
    </w:p>
    <w:p w14:paraId="460D9BD4" w14:textId="42C25FB7" w:rsidR="003B05C3" w:rsidRPr="00D74D83" w:rsidRDefault="003B05C3" w:rsidP="003B05C3">
      <w:pPr>
        <w:pStyle w:val="Paragrafoelenco"/>
        <w:numPr>
          <w:ilvl w:val="0"/>
          <w:numId w:val="8"/>
        </w:numPr>
        <w:spacing w:line="360" w:lineRule="auto"/>
        <w:ind w:right="-1"/>
        <w:jc w:val="both"/>
        <w:rPr>
          <w:b/>
          <w:bCs/>
          <w:sz w:val="24"/>
          <w:szCs w:val="24"/>
        </w:rPr>
      </w:pPr>
      <w:r w:rsidRPr="00D74D83">
        <w:rPr>
          <w:b/>
          <w:bCs/>
          <w:sz w:val="24"/>
          <w:szCs w:val="24"/>
        </w:rPr>
        <w:t>n. 1996/2008;</w:t>
      </w:r>
    </w:p>
    <w:p w14:paraId="3DCFEC9E" w14:textId="6A87EB59" w:rsidR="003B05C3" w:rsidRPr="00D74D83" w:rsidRDefault="003B05C3" w:rsidP="003B05C3">
      <w:pPr>
        <w:pStyle w:val="Paragrafoelenco"/>
        <w:numPr>
          <w:ilvl w:val="0"/>
          <w:numId w:val="8"/>
        </w:numPr>
        <w:spacing w:line="360" w:lineRule="auto"/>
        <w:ind w:right="-1"/>
        <w:jc w:val="both"/>
        <w:rPr>
          <w:b/>
          <w:bCs/>
          <w:sz w:val="24"/>
          <w:szCs w:val="24"/>
        </w:rPr>
      </w:pPr>
      <w:r w:rsidRPr="00D74D83">
        <w:rPr>
          <w:b/>
          <w:bCs/>
          <w:sz w:val="24"/>
          <w:szCs w:val="24"/>
        </w:rPr>
        <w:t>n. 13975/2008;</w:t>
      </w:r>
    </w:p>
    <w:p w14:paraId="2ED83881" w14:textId="3D3451FD" w:rsidR="003B05C3" w:rsidRPr="00D74D83" w:rsidRDefault="003B05C3" w:rsidP="003B05C3">
      <w:pPr>
        <w:pStyle w:val="Paragrafoelenco"/>
        <w:numPr>
          <w:ilvl w:val="0"/>
          <w:numId w:val="8"/>
        </w:numPr>
        <w:spacing w:line="360" w:lineRule="auto"/>
        <w:ind w:right="-1"/>
        <w:jc w:val="both"/>
        <w:rPr>
          <w:b/>
          <w:bCs/>
          <w:sz w:val="24"/>
          <w:szCs w:val="24"/>
        </w:rPr>
      </w:pPr>
      <w:r w:rsidRPr="00D74D83">
        <w:rPr>
          <w:b/>
          <w:bCs/>
          <w:sz w:val="24"/>
          <w:szCs w:val="24"/>
        </w:rPr>
        <w:t xml:space="preserve">n. 21996/2018. </w:t>
      </w:r>
    </w:p>
    <w:p w14:paraId="6027D404" w14:textId="063C5FA2" w:rsidR="00544B1B" w:rsidRPr="00934787" w:rsidRDefault="00736075" w:rsidP="00736075">
      <w:pPr>
        <w:spacing w:line="360" w:lineRule="auto"/>
        <w:ind w:right="-1"/>
        <w:contextualSpacing/>
        <w:jc w:val="both"/>
        <w:rPr>
          <w:b/>
          <w:bCs/>
          <w:sz w:val="24"/>
          <w:szCs w:val="24"/>
        </w:rPr>
      </w:pPr>
      <w:r w:rsidRPr="00934787">
        <w:rPr>
          <w:b/>
          <w:bCs/>
          <w:sz w:val="24"/>
          <w:szCs w:val="24"/>
        </w:rPr>
        <w:t xml:space="preserve">La suddetta </w:t>
      </w:r>
      <w:r w:rsidR="00AF5743">
        <w:rPr>
          <w:b/>
          <w:bCs/>
          <w:sz w:val="24"/>
          <w:szCs w:val="24"/>
        </w:rPr>
        <w:t xml:space="preserve">criticabile </w:t>
      </w:r>
      <w:r w:rsidRPr="00934787">
        <w:rPr>
          <w:b/>
          <w:bCs/>
          <w:sz w:val="24"/>
          <w:szCs w:val="24"/>
        </w:rPr>
        <w:t xml:space="preserve">interpretazione </w:t>
      </w:r>
      <w:r w:rsidR="00934787">
        <w:rPr>
          <w:b/>
          <w:bCs/>
          <w:sz w:val="24"/>
          <w:szCs w:val="24"/>
        </w:rPr>
        <w:t xml:space="preserve">allargata </w:t>
      </w:r>
      <w:r w:rsidRPr="00934787">
        <w:rPr>
          <w:b/>
          <w:bCs/>
          <w:sz w:val="24"/>
          <w:szCs w:val="24"/>
        </w:rPr>
        <w:t xml:space="preserve">è stata </w:t>
      </w:r>
      <w:r w:rsidR="00AF5743">
        <w:rPr>
          <w:b/>
          <w:bCs/>
          <w:sz w:val="24"/>
          <w:szCs w:val="24"/>
        </w:rPr>
        <w:t xml:space="preserve">poi </w:t>
      </w:r>
      <w:r w:rsidRPr="00934787">
        <w:rPr>
          <w:b/>
          <w:bCs/>
          <w:sz w:val="24"/>
          <w:szCs w:val="24"/>
        </w:rPr>
        <w:t>ripresa anche dalla Corte di Cassazione – Sezione Tributaria – con le seguenti ordinanze</w:t>
      </w:r>
      <w:r w:rsidR="00934787">
        <w:rPr>
          <w:b/>
          <w:bCs/>
          <w:sz w:val="24"/>
          <w:szCs w:val="24"/>
        </w:rPr>
        <w:t xml:space="preserve"> e distinzioni</w:t>
      </w:r>
      <w:r w:rsidRPr="00934787">
        <w:rPr>
          <w:b/>
          <w:bCs/>
          <w:sz w:val="24"/>
          <w:szCs w:val="24"/>
        </w:rPr>
        <w:t>:</w:t>
      </w:r>
    </w:p>
    <w:p w14:paraId="37063F1F" w14:textId="38D501A2" w:rsidR="00736075" w:rsidRPr="00736075" w:rsidRDefault="00736075" w:rsidP="00736075">
      <w:pPr>
        <w:pStyle w:val="Paragrafoelenco"/>
        <w:numPr>
          <w:ilvl w:val="0"/>
          <w:numId w:val="14"/>
        </w:numPr>
        <w:spacing w:line="360" w:lineRule="auto"/>
        <w:ind w:right="-1"/>
        <w:jc w:val="both"/>
        <w:rPr>
          <w:b/>
          <w:bCs/>
          <w:sz w:val="24"/>
          <w:szCs w:val="24"/>
        </w:rPr>
      </w:pPr>
      <w:r w:rsidRPr="00736075">
        <w:rPr>
          <w:b/>
          <w:bCs/>
          <w:sz w:val="24"/>
          <w:szCs w:val="24"/>
        </w:rPr>
        <w:t>n. 13122/2020, secondo cui</w:t>
      </w:r>
      <w:r w:rsidR="00CA2751">
        <w:rPr>
          <w:b/>
          <w:bCs/>
          <w:sz w:val="24"/>
          <w:szCs w:val="24"/>
        </w:rPr>
        <w:t>, soltanto ai fini IRAP ed IVA</w:t>
      </w:r>
      <w:r w:rsidR="00934787">
        <w:rPr>
          <w:b/>
          <w:bCs/>
          <w:sz w:val="24"/>
          <w:szCs w:val="24"/>
        </w:rPr>
        <w:t xml:space="preserve"> (a differenza del penale)</w:t>
      </w:r>
      <w:r w:rsidRPr="00736075">
        <w:rPr>
          <w:b/>
          <w:bCs/>
          <w:sz w:val="24"/>
          <w:szCs w:val="24"/>
        </w:rPr>
        <w:t>:</w:t>
      </w:r>
    </w:p>
    <w:p w14:paraId="62C4720C" w14:textId="77BB53F5" w:rsidR="00736075" w:rsidRDefault="00736075" w:rsidP="00C84044">
      <w:pPr>
        <w:pStyle w:val="Paragrafoelenco"/>
        <w:spacing w:line="240" w:lineRule="auto"/>
        <w:ind w:right="849"/>
        <w:jc w:val="both"/>
        <w:rPr>
          <w:i/>
          <w:iCs/>
          <w:sz w:val="24"/>
          <w:szCs w:val="24"/>
        </w:rPr>
      </w:pPr>
      <w:r>
        <w:rPr>
          <w:i/>
          <w:iCs/>
          <w:sz w:val="24"/>
          <w:szCs w:val="24"/>
        </w:rPr>
        <w:t>“</w:t>
      </w:r>
      <w:r w:rsidRPr="00736075">
        <w:rPr>
          <w:i/>
          <w:iCs/>
          <w:sz w:val="24"/>
          <w:szCs w:val="24"/>
        </w:rPr>
        <w:t xml:space="preserve">Gli esiti della giurisprudenza di questa Corte successivi alla cd. legge Biagi, convergono tutti nell'affermare che il contratto di </w:t>
      </w:r>
      <w:r w:rsidRPr="00AF5743">
        <w:rPr>
          <w:b/>
          <w:i/>
          <w:iCs/>
          <w:sz w:val="24"/>
          <w:szCs w:val="24"/>
        </w:rPr>
        <w:t>somministrazione di manodopera illecita</w:t>
      </w:r>
      <w:r w:rsidRPr="00736075">
        <w:rPr>
          <w:i/>
          <w:iCs/>
          <w:sz w:val="24"/>
          <w:szCs w:val="24"/>
        </w:rPr>
        <w:t xml:space="preserve">, seppure sotto la veste (apparente) di contratto di appalto, continua, pur dopo l'intervento legislativo del 2003, ad essere viziato di </w:t>
      </w:r>
      <w:proofErr w:type="spellStart"/>
      <w:r w:rsidRPr="00736075">
        <w:rPr>
          <w:i/>
          <w:iCs/>
          <w:sz w:val="24"/>
          <w:szCs w:val="24"/>
        </w:rPr>
        <w:t>nullita'</w:t>
      </w:r>
      <w:proofErr w:type="spellEnd"/>
      <w:r w:rsidRPr="00736075">
        <w:rPr>
          <w:i/>
          <w:iCs/>
          <w:sz w:val="24"/>
          <w:szCs w:val="24"/>
        </w:rPr>
        <w:t xml:space="preserve"> con i conseguenti effetti sul rapporto di lavoro tra somministratore e lavoratore (sui quali, cfr. Sez. U. 07/02/2018, n. 2990) e, quindi, sui debiti fiscali ai fini </w:t>
      </w:r>
      <w:r w:rsidRPr="00934787">
        <w:rPr>
          <w:b/>
          <w:bCs/>
          <w:i/>
          <w:iCs/>
          <w:sz w:val="24"/>
          <w:szCs w:val="24"/>
        </w:rPr>
        <w:t xml:space="preserve">Irap </w:t>
      </w:r>
      <w:proofErr w:type="spellStart"/>
      <w:r w:rsidRPr="00934787">
        <w:rPr>
          <w:b/>
          <w:bCs/>
          <w:i/>
          <w:iCs/>
          <w:sz w:val="24"/>
          <w:szCs w:val="24"/>
        </w:rPr>
        <w:t>ed</w:t>
      </w:r>
      <w:proofErr w:type="spellEnd"/>
      <w:r w:rsidRPr="00934787">
        <w:rPr>
          <w:b/>
          <w:bCs/>
          <w:i/>
          <w:iCs/>
          <w:sz w:val="24"/>
          <w:szCs w:val="24"/>
        </w:rPr>
        <w:t xml:space="preserve"> Iva</w:t>
      </w:r>
      <w:r w:rsidRPr="00736075">
        <w:rPr>
          <w:i/>
          <w:iCs/>
          <w:sz w:val="24"/>
          <w:szCs w:val="24"/>
        </w:rPr>
        <w:t xml:space="preserve">, per i quali </w:t>
      </w:r>
      <w:proofErr w:type="spellStart"/>
      <w:r w:rsidRPr="00736075">
        <w:rPr>
          <w:i/>
          <w:iCs/>
          <w:sz w:val="24"/>
          <w:szCs w:val="24"/>
        </w:rPr>
        <w:t>e'</w:t>
      </w:r>
      <w:proofErr w:type="spellEnd"/>
      <w:r w:rsidRPr="00736075">
        <w:rPr>
          <w:i/>
          <w:iCs/>
          <w:sz w:val="24"/>
          <w:szCs w:val="24"/>
        </w:rPr>
        <w:t xml:space="preserve"> ritenuto irrilevante la richiesta del lavoratore, mediante ricorso giudiziale a norma dell'articolo 414 c.p.c., di costituire il rapporto di lavoro alle dipendenze del soggetto che ne ha utilizzato la prestazione (</w:t>
      </w:r>
      <w:r w:rsidRPr="00934787">
        <w:rPr>
          <w:b/>
          <w:bCs/>
          <w:i/>
          <w:iCs/>
          <w:sz w:val="24"/>
          <w:szCs w:val="24"/>
        </w:rPr>
        <w:t xml:space="preserve">in termini, Cass., Ordinanza 28/07/2017, n. 18808 e Sez. 5, Sentenza n. 31720 del 07/12/2018, Rv. 651778-01; </w:t>
      </w:r>
      <w:proofErr w:type="spellStart"/>
      <w:r w:rsidRPr="00934787">
        <w:rPr>
          <w:b/>
          <w:bCs/>
          <w:i/>
          <w:iCs/>
          <w:sz w:val="24"/>
          <w:szCs w:val="24"/>
        </w:rPr>
        <w:t>conf.</w:t>
      </w:r>
      <w:proofErr w:type="spellEnd"/>
      <w:r w:rsidRPr="00934787">
        <w:rPr>
          <w:b/>
          <w:bCs/>
          <w:i/>
          <w:iCs/>
          <w:sz w:val="24"/>
          <w:szCs w:val="24"/>
        </w:rPr>
        <w:t xml:space="preserve">, </w:t>
      </w:r>
      <w:proofErr w:type="spellStart"/>
      <w:r w:rsidRPr="00934787">
        <w:rPr>
          <w:b/>
          <w:bCs/>
          <w:i/>
          <w:iCs/>
          <w:sz w:val="24"/>
          <w:szCs w:val="24"/>
        </w:rPr>
        <w:t>ordd</w:t>
      </w:r>
      <w:proofErr w:type="spellEnd"/>
      <w:r w:rsidRPr="00934787">
        <w:rPr>
          <w:b/>
          <w:bCs/>
          <w:i/>
          <w:iCs/>
          <w:sz w:val="24"/>
          <w:szCs w:val="24"/>
        </w:rPr>
        <w:t>. 17/01/2018, n. 938; 27/07/2018, n. 19966 e 12/11/2018, n. 28953</w:t>
      </w:r>
      <w:r w:rsidRPr="00736075">
        <w:rPr>
          <w:i/>
          <w:iCs/>
          <w:sz w:val="24"/>
          <w:szCs w:val="24"/>
        </w:rPr>
        <w:t>)</w:t>
      </w:r>
      <w:r w:rsidR="00492C20">
        <w:rPr>
          <w:i/>
          <w:iCs/>
          <w:sz w:val="24"/>
          <w:szCs w:val="24"/>
        </w:rPr>
        <w:t>.</w:t>
      </w:r>
      <w:bookmarkStart w:id="79" w:name="_GoBack"/>
      <w:bookmarkEnd w:id="79"/>
      <w:r>
        <w:rPr>
          <w:i/>
          <w:iCs/>
          <w:sz w:val="24"/>
          <w:szCs w:val="24"/>
        </w:rPr>
        <w:t>”</w:t>
      </w:r>
    </w:p>
    <w:p w14:paraId="1D08CD36" w14:textId="77777777" w:rsidR="00AF5743" w:rsidRDefault="00AF5743" w:rsidP="00C84044">
      <w:pPr>
        <w:pStyle w:val="Paragrafoelenco"/>
        <w:spacing w:line="240" w:lineRule="auto"/>
        <w:ind w:right="849"/>
        <w:jc w:val="both"/>
        <w:rPr>
          <w:i/>
          <w:iCs/>
          <w:sz w:val="24"/>
          <w:szCs w:val="24"/>
        </w:rPr>
      </w:pPr>
    </w:p>
    <w:p w14:paraId="2D349139" w14:textId="761F60BA" w:rsidR="00AF5743" w:rsidRPr="00AF5743" w:rsidRDefault="00AF5743" w:rsidP="00D850CC">
      <w:pPr>
        <w:pStyle w:val="Paragrafoelenco"/>
        <w:spacing w:line="240" w:lineRule="auto"/>
        <w:ind w:right="849"/>
        <w:jc w:val="both"/>
        <w:rPr>
          <w:b/>
          <w:iCs/>
          <w:sz w:val="24"/>
          <w:szCs w:val="24"/>
        </w:rPr>
      </w:pPr>
      <w:r>
        <w:rPr>
          <w:iCs/>
          <w:sz w:val="24"/>
          <w:szCs w:val="24"/>
        </w:rPr>
        <w:t xml:space="preserve">Nel frattempo, si segnala che, in tema di prestito – distacco del personale, l’art. 16-ter del D.L. n. 131/2024 ha </w:t>
      </w:r>
      <w:r w:rsidRPr="00AF5743">
        <w:rPr>
          <w:b/>
          <w:iCs/>
          <w:sz w:val="24"/>
          <w:szCs w:val="24"/>
        </w:rPr>
        <w:t>abrogato</w:t>
      </w:r>
      <w:r>
        <w:rPr>
          <w:b/>
          <w:iCs/>
          <w:sz w:val="24"/>
          <w:szCs w:val="24"/>
        </w:rPr>
        <w:t xml:space="preserve"> </w:t>
      </w:r>
      <w:r w:rsidRPr="00AF5743">
        <w:rPr>
          <w:iCs/>
          <w:sz w:val="24"/>
          <w:szCs w:val="24"/>
        </w:rPr>
        <w:t>il c</w:t>
      </w:r>
      <w:r>
        <w:rPr>
          <w:iCs/>
          <w:sz w:val="24"/>
          <w:szCs w:val="24"/>
        </w:rPr>
        <w:t xml:space="preserve">omma 35 dell’art. 8 della Legge n. 67/1988 </w:t>
      </w:r>
      <w:r w:rsidRPr="00AF5743">
        <w:rPr>
          <w:b/>
          <w:iCs/>
          <w:sz w:val="24"/>
          <w:szCs w:val="24"/>
        </w:rPr>
        <w:t>a far data</w:t>
      </w:r>
      <w:r>
        <w:rPr>
          <w:b/>
          <w:iCs/>
          <w:sz w:val="24"/>
          <w:szCs w:val="24"/>
        </w:rPr>
        <w:t xml:space="preserve"> dall’01 gennaio 2025, adeguandosi alla costante giurisprudenza comunitaria; </w:t>
      </w:r>
    </w:p>
    <w:p w14:paraId="6695CEB9" w14:textId="77777777" w:rsidR="00736075" w:rsidRPr="00736075" w:rsidRDefault="00736075" w:rsidP="00736075">
      <w:pPr>
        <w:pStyle w:val="Paragrafoelenco"/>
        <w:spacing w:line="240" w:lineRule="auto"/>
        <w:ind w:right="-1"/>
        <w:jc w:val="both"/>
        <w:rPr>
          <w:b/>
          <w:bCs/>
          <w:i/>
          <w:iCs/>
          <w:sz w:val="24"/>
          <w:szCs w:val="24"/>
        </w:rPr>
      </w:pPr>
    </w:p>
    <w:p w14:paraId="3EACCD4D" w14:textId="5B667959" w:rsidR="00736075" w:rsidRDefault="00736075" w:rsidP="00736075">
      <w:pPr>
        <w:pStyle w:val="Paragrafoelenco"/>
        <w:numPr>
          <w:ilvl w:val="0"/>
          <w:numId w:val="14"/>
        </w:numPr>
        <w:spacing w:line="360" w:lineRule="auto"/>
        <w:ind w:right="-1"/>
        <w:jc w:val="both"/>
        <w:rPr>
          <w:b/>
          <w:bCs/>
          <w:sz w:val="24"/>
          <w:szCs w:val="24"/>
        </w:rPr>
      </w:pPr>
      <w:r w:rsidRPr="00736075">
        <w:rPr>
          <w:b/>
          <w:bCs/>
          <w:sz w:val="24"/>
          <w:szCs w:val="24"/>
        </w:rPr>
        <w:t>n. 21090/2024, secondo cui</w:t>
      </w:r>
      <w:r w:rsidR="00504021">
        <w:rPr>
          <w:b/>
          <w:bCs/>
          <w:sz w:val="24"/>
          <w:szCs w:val="24"/>
        </w:rPr>
        <w:t>, invece, anche ai fini II.DD, IRAP ed IVA</w:t>
      </w:r>
      <w:r w:rsidR="00934787">
        <w:rPr>
          <w:b/>
          <w:bCs/>
          <w:sz w:val="24"/>
          <w:szCs w:val="24"/>
        </w:rPr>
        <w:t xml:space="preserve"> (come per il penale)</w:t>
      </w:r>
      <w:r w:rsidRPr="00736075">
        <w:rPr>
          <w:b/>
          <w:bCs/>
          <w:sz w:val="24"/>
          <w:szCs w:val="24"/>
        </w:rPr>
        <w:t xml:space="preserve">: </w:t>
      </w:r>
    </w:p>
    <w:p w14:paraId="1CC92288" w14:textId="13F8943F" w:rsidR="00736075" w:rsidRPr="00736075" w:rsidRDefault="00736075" w:rsidP="00C84044">
      <w:pPr>
        <w:pStyle w:val="Paragrafoelenco"/>
        <w:spacing w:line="240" w:lineRule="auto"/>
        <w:ind w:right="849"/>
        <w:jc w:val="both"/>
        <w:rPr>
          <w:i/>
          <w:iCs/>
          <w:sz w:val="24"/>
          <w:szCs w:val="24"/>
        </w:rPr>
      </w:pPr>
      <w:r w:rsidRPr="00736075">
        <w:rPr>
          <w:i/>
          <w:iCs/>
          <w:sz w:val="24"/>
          <w:szCs w:val="24"/>
        </w:rPr>
        <w:t xml:space="preserve">“Non decisiva è dunque la giurisprudenza giuslavoristica (sentenza della Corte d'Appello dell'Aquila, sez. Lavoro, n.1018/2022, sentenza del Tribunale di Firenze, sez. Lavoro, n.831/2017) citata nella memoria illustrativa della società, in quanto riguarda la qualificazione del contratto civilistico e la sua efficacia verso terzi, </w:t>
      </w:r>
      <w:r w:rsidRPr="00736075">
        <w:rPr>
          <w:i/>
          <w:iCs/>
          <w:sz w:val="24"/>
          <w:szCs w:val="24"/>
        </w:rPr>
        <w:lastRenderedPageBreak/>
        <w:t>comprese le autorità pubbliche, ma non l'operazione economica sottostante, né la certificazione impedisce al giudice tributario di pronunciarsi sull'obbligazione tributaria intesa quale rapporto giuridico instauratosi al verificarsi di un atto o un fatto rivelatore di capacità contributiva ex at.53 Cost. secondo la legge applicabile in materia.</w:t>
      </w:r>
    </w:p>
    <w:p w14:paraId="6B3E8CA0" w14:textId="425BDEB2" w:rsidR="00736075" w:rsidRPr="008F1152" w:rsidRDefault="00736075" w:rsidP="00C84044">
      <w:pPr>
        <w:pStyle w:val="Paragrafoelenco"/>
        <w:spacing w:line="240" w:lineRule="auto"/>
        <w:ind w:right="849"/>
        <w:jc w:val="both"/>
        <w:rPr>
          <w:b/>
          <w:bCs/>
          <w:i/>
          <w:iCs/>
          <w:sz w:val="24"/>
          <w:szCs w:val="24"/>
        </w:rPr>
      </w:pPr>
      <w:r w:rsidRPr="008F1152">
        <w:rPr>
          <w:b/>
          <w:bCs/>
          <w:i/>
          <w:iCs/>
          <w:sz w:val="24"/>
          <w:szCs w:val="24"/>
        </w:rPr>
        <w:t>Dev'essere così affermato il seguente principio di diritto:</w:t>
      </w:r>
    </w:p>
    <w:p w14:paraId="1D006BAE" w14:textId="2889F75D" w:rsidR="00736075" w:rsidRDefault="00736075" w:rsidP="00934787">
      <w:pPr>
        <w:pStyle w:val="Paragrafoelenco"/>
        <w:spacing w:line="240" w:lineRule="auto"/>
        <w:ind w:right="849"/>
        <w:jc w:val="both"/>
        <w:rPr>
          <w:b/>
          <w:bCs/>
          <w:i/>
          <w:iCs/>
          <w:sz w:val="24"/>
          <w:szCs w:val="24"/>
        </w:rPr>
      </w:pPr>
      <w:r w:rsidRPr="008F1152">
        <w:rPr>
          <w:b/>
          <w:bCs/>
          <w:i/>
          <w:iCs/>
          <w:sz w:val="24"/>
          <w:szCs w:val="24"/>
        </w:rPr>
        <w:t xml:space="preserve">L'esercizio del potere - dovere del giudice tributario di qualificare l'operazione economica sottostante il contratto, anche sulla base dell'esecuzione dello stesso, e di pronunciarsi sull'obbligazione tributaria instauratasi al </w:t>
      </w:r>
      <w:r w:rsidR="00181407">
        <w:rPr>
          <w:b/>
          <w:bCs/>
          <w:i/>
          <w:iCs/>
          <w:sz w:val="24"/>
          <w:szCs w:val="24"/>
        </w:rPr>
        <w:t>verificarsi</w:t>
      </w:r>
      <w:r w:rsidRPr="008F1152">
        <w:rPr>
          <w:b/>
          <w:bCs/>
          <w:i/>
          <w:iCs/>
          <w:sz w:val="24"/>
          <w:szCs w:val="24"/>
        </w:rPr>
        <w:t xml:space="preserve"> di un atto o fatto rilevatore di capacità contributiva ex art.53 Cost. , non è precluso dalla certificazione del contratto di cui agli artt.75 e ss. del D.Lgs. 10 settembre 2003, n. 276 e dalla mancata impugnazione di tale certificazione davanti al giudice ordinario in funzione di giudice del lavoro</w:t>
      </w:r>
      <w:r w:rsidR="00E83A86">
        <w:rPr>
          <w:b/>
          <w:bCs/>
          <w:i/>
          <w:iCs/>
          <w:sz w:val="24"/>
          <w:szCs w:val="24"/>
        </w:rPr>
        <w:t>.</w:t>
      </w:r>
      <w:r w:rsidRPr="008F1152">
        <w:rPr>
          <w:b/>
          <w:bCs/>
          <w:i/>
          <w:iCs/>
          <w:sz w:val="24"/>
          <w:szCs w:val="24"/>
        </w:rPr>
        <w:t>"</w:t>
      </w:r>
    </w:p>
    <w:p w14:paraId="35438DE6" w14:textId="77777777" w:rsidR="00266FD4" w:rsidRDefault="00266FD4" w:rsidP="00934787">
      <w:pPr>
        <w:pStyle w:val="Paragrafoelenco"/>
        <w:spacing w:line="240" w:lineRule="auto"/>
        <w:ind w:right="849"/>
        <w:jc w:val="both"/>
        <w:rPr>
          <w:b/>
          <w:bCs/>
          <w:i/>
          <w:iCs/>
          <w:sz w:val="24"/>
          <w:szCs w:val="24"/>
        </w:rPr>
      </w:pPr>
    </w:p>
    <w:p w14:paraId="4B92736E" w14:textId="57C8DF80" w:rsidR="00266FD4" w:rsidRPr="008E130C" w:rsidRDefault="00266FD4" w:rsidP="00266FD4">
      <w:pPr>
        <w:pStyle w:val="Paragrafoelenco"/>
        <w:numPr>
          <w:ilvl w:val="0"/>
          <w:numId w:val="14"/>
        </w:numPr>
        <w:spacing w:line="360" w:lineRule="auto"/>
        <w:ind w:right="849"/>
        <w:jc w:val="both"/>
        <w:rPr>
          <w:b/>
          <w:bCs/>
          <w:iCs/>
          <w:sz w:val="24"/>
          <w:szCs w:val="24"/>
        </w:rPr>
      </w:pPr>
      <w:r w:rsidRPr="008E130C">
        <w:rPr>
          <w:b/>
          <w:bCs/>
          <w:iCs/>
          <w:sz w:val="24"/>
          <w:szCs w:val="24"/>
        </w:rPr>
        <w:t>Invece, la Corte UE (sentenza n. C-114/2022 depositata il 25 maggio 2023) ha stabilito che, nonostante l’operazione sia considerata nulla o simulata, va sempre riconosciuto il diritto alla detrazione IVA</w:t>
      </w:r>
      <w:r w:rsidR="008E130C">
        <w:rPr>
          <w:b/>
          <w:bCs/>
          <w:iCs/>
          <w:sz w:val="24"/>
          <w:szCs w:val="24"/>
        </w:rPr>
        <w:t xml:space="preserve"> </w:t>
      </w:r>
      <w:r w:rsidRPr="008E130C">
        <w:rPr>
          <w:b/>
          <w:bCs/>
          <w:iCs/>
          <w:sz w:val="24"/>
          <w:szCs w:val="24"/>
        </w:rPr>
        <w:t>se:</w:t>
      </w:r>
    </w:p>
    <w:p w14:paraId="61F52C6A" w14:textId="71B971AC" w:rsidR="00266FD4" w:rsidRPr="008E130C" w:rsidRDefault="00266FD4" w:rsidP="00266FD4">
      <w:pPr>
        <w:pStyle w:val="Paragrafoelenco"/>
        <w:numPr>
          <w:ilvl w:val="0"/>
          <w:numId w:val="23"/>
        </w:numPr>
        <w:spacing w:line="360" w:lineRule="auto"/>
        <w:ind w:right="849"/>
        <w:jc w:val="both"/>
        <w:rPr>
          <w:b/>
          <w:bCs/>
          <w:iCs/>
          <w:sz w:val="24"/>
          <w:szCs w:val="24"/>
        </w:rPr>
      </w:pPr>
      <w:r w:rsidRPr="008E130C">
        <w:rPr>
          <w:b/>
          <w:bCs/>
          <w:iCs/>
          <w:sz w:val="24"/>
          <w:szCs w:val="24"/>
        </w:rPr>
        <w:t>l’operazione sia stata effettivamente realizzata;</w:t>
      </w:r>
    </w:p>
    <w:p w14:paraId="724ACBE4" w14:textId="26811D2E" w:rsidR="00266FD4" w:rsidRPr="008E130C" w:rsidRDefault="008E130C" w:rsidP="00266FD4">
      <w:pPr>
        <w:pStyle w:val="Paragrafoelenco"/>
        <w:numPr>
          <w:ilvl w:val="0"/>
          <w:numId w:val="23"/>
        </w:numPr>
        <w:spacing w:line="360" w:lineRule="auto"/>
        <w:ind w:right="849"/>
        <w:jc w:val="both"/>
        <w:rPr>
          <w:b/>
          <w:bCs/>
          <w:iCs/>
          <w:sz w:val="24"/>
          <w:szCs w:val="24"/>
        </w:rPr>
      </w:pPr>
      <w:r w:rsidRPr="008E130C">
        <w:rPr>
          <w:b/>
          <w:bCs/>
          <w:iCs/>
          <w:sz w:val="24"/>
          <w:szCs w:val="24"/>
        </w:rPr>
        <w:t xml:space="preserve">non derivi da un’evasione IVA; </w:t>
      </w:r>
    </w:p>
    <w:p w14:paraId="4249332B" w14:textId="36BBA0CF" w:rsidR="008E130C" w:rsidRPr="008E130C" w:rsidRDefault="008E130C" w:rsidP="00266FD4">
      <w:pPr>
        <w:pStyle w:val="Paragrafoelenco"/>
        <w:numPr>
          <w:ilvl w:val="0"/>
          <w:numId w:val="23"/>
        </w:numPr>
        <w:spacing w:line="360" w:lineRule="auto"/>
        <w:ind w:right="849"/>
        <w:jc w:val="both"/>
        <w:rPr>
          <w:b/>
          <w:bCs/>
          <w:iCs/>
          <w:sz w:val="24"/>
          <w:szCs w:val="24"/>
        </w:rPr>
      </w:pPr>
      <w:r w:rsidRPr="008E130C">
        <w:rPr>
          <w:b/>
          <w:bCs/>
          <w:iCs/>
          <w:sz w:val="24"/>
          <w:szCs w:val="24"/>
        </w:rPr>
        <w:t xml:space="preserve">non faccia parte di un’operazione realizzata in abuso di diritto. </w:t>
      </w:r>
    </w:p>
    <w:p w14:paraId="2B58D459" w14:textId="77777777" w:rsidR="00934787" w:rsidRPr="00934787" w:rsidRDefault="00934787" w:rsidP="00934787">
      <w:pPr>
        <w:pStyle w:val="Paragrafoelenco"/>
        <w:spacing w:line="240" w:lineRule="auto"/>
        <w:ind w:right="849"/>
        <w:jc w:val="both"/>
        <w:rPr>
          <w:b/>
          <w:bCs/>
          <w:i/>
          <w:iCs/>
          <w:sz w:val="24"/>
          <w:szCs w:val="24"/>
        </w:rPr>
      </w:pPr>
    </w:p>
    <w:p w14:paraId="1D38B99D" w14:textId="77777777" w:rsidR="00C84044" w:rsidRPr="00736075" w:rsidRDefault="00C84044" w:rsidP="00736075">
      <w:pPr>
        <w:pStyle w:val="Paragrafoelenco"/>
        <w:spacing w:line="240" w:lineRule="auto"/>
        <w:ind w:right="-1"/>
        <w:jc w:val="both"/>
        <w:rPr>
          <w:i/>
          <w:iCs/>
          <w:sz w:val="24"/>
          <w:szCs w:val="24"/>
        </w:rPr>
      </w:pPr>
    </w:p>
    <w:p w14:paraId="2A08C5EC" w14:textId="2EF214FE" w:rsidR="008F1152" w:rsidRDefault="008F1152" w:rsidP="00D44BD1">
      <w:pPr>
        <w:pStyle w:val="Paragrafoelenco"/>
        <w:numPr>
          <w:ilvl w:val="0"/>
          <w:numId w:val="13"/>
        </w:numPr>
        <w:spacing w:line="360" w:lineRule="auto"/>
        <w:ind w:left="425" w:hanging="425"/>
        <w:jc w:val="both"/>
        <w:outlineLvl w:val="1"/>
        <w:rPr>
          <w:b/>
          <w:bCs/>
          <w:sz w:val="24"/>
          <w:szCs w:val="24"/>
        </w:rPr>
      </w:pPr>
      <w:bookmarkStart w:id="80" w:name="_Toc186717006"/>
      <w:bookmarkStart w:id="81" w:name="_Toc186793162"/>
      <w:bookmarkStart w:id="82" w:name="_Toc186808359"/>
      <w:bookmarkStart w:id="83" w:name="_Toc186993210"/>
      <w:bookmarkStart w:id="84" w:name="_Toc187062376"/>
      <w:bookmarkStart w:id="85" w:name="_Toc186711262"/>
      <w:r>
        <w:rPr>
          <w:b/>
          <w:bCs/>
          <w:sz w:val="24"/>
          <w:szCs w:val="24"/>
        </w:rPr>
        <w:t>CORTE DI CASSAZIONE – QUINTA SEZIONE PENALE – CONCORSO DI REATI</w:t>
      </w:r>
      <w:bookmarkEnd w:id="80"/>
      <w:bookmarkEnd w:id="81"/>
      <w:bookmarkEnd w:id="82"/>
      <w:bookmarkEnd w:id="83"/>
      <w:bookmarkEnd w:id="84"/>
    </w:p>
    <w:p w14:paraId="080CD137" w14:textId="0E68DD1E" w:rsidR="008F1152" w:rsidRPr="00934787" w:rsidRDefault="008F1152" w:rsidP="008F1152">
      <w:pPr>
        <w:spacing w:line="360" w:lineRule="auto"/>
        <w:jc w:val="both"/>
        <w:outlineLvl w:val="1"/>
        <w:rPr>
          <w:b/>
          <w:bCs/>
          <w:sz w:val="24"/>
          <w:szCs w:val="24"/>
        </w:rPr>
      </w:pPr>
      <w:bookmarkStart w:id="86" w:name="_Toc186717007"/>
      <w:bookmarkStart w:id="87" w:name="_Toc186793163"/>
      <w:bookmarkStart w:id="88" w:name="_Toc186808360"/>
      <w:bookmarkStart w:id="89" w:name="_Toc186993211"/>
      <w:bookmarkStart w:id="90" w:name="_Toc187062377"/>
      <w:r w:rsidRPr="00934787">
        <w:rPr>
          <w:b/>
          <w:bCs/>
          <w:sz w:val="24"/>
          <w:szCs w:val="24"/>
        </w:rPr>
        <w:t>In tema di concorso di reati</w:t>
      </w:r>
      <w:r w:rsidR="00934787" w:rsidRPr="00934787">
        <w:rPr>
          <w:b/>
          <w:bCs/>
          <w:sz w:val="24"/>
          <w:szCs w:val="24"/>
        </w:rPr>
        <w:t xml:space="preserve">, </w:t>
      </w:r>
      <w:r w:rsidR="00E8704D" w:rsidRPr="00934787">
        <w:rPr>
          <w:b/>
          <w:bCs/>
          <w:sz w:val="24"/>
          <w:szCs w:val="24"/>
        </w:rPr>
        <w:t xml:space="preserve">contrariamente a quanto aveva stabilito la Terza Sezione Penale della Corte di Cassazione con le sentenze nn. 13686/2022 e 50628/2014, la Corte di Cassazione – Quinta Sezione Penale –, con la sentenza n. 45575/2024, </w:t>
      </w:r>
      <w:r w:rsidR="004D7014" w:rsidRPr="00934787">
        <w:rPr>
          <w:b/>
          <w:bCs/>
          <w:sz w:val="24"/>
          <w:szCs w:val="24"/>
        </w:rPr>
        <w:t xml:space="preserve">depositata l’11 dicembre 2024, </w:t>
      </w:r>
      <w:r w:rsidR="00E8704D" w:rsidRPr="00934787">
        <w:rPr>
          <w:b/>
          <w:bCs/>
          <w:sz w:val="24"/>
          <w:szCs w:val="24"/>
        </w:rPr>
        <w:t>ha invece stabilito che:</w:t>
      </w:r>
      <w:bookmarkEnd w:id="86"/>
      <w:bookmarkEnd w:id="87"/>
      <w:bookmarkEnd w:id="88"/>
      <w:bookmarkEnd w:id="89"/>
      <w:bookmarkEnd w:id="90"/>
      <w:r w:rsidR="00E8704D" w:rsidRPr="00934787">
        <w:rPr>
          <w:b/>
          <w:bCs/>
          <w:sz w:val="24"/>
          <w:szCs w:val="24"/>
        </w:rPr>
        <w:t xml:space="preserve"> </w:t>
      </w:r>
    </w:p>
    <w:p w14:paraId="3F50CE4A" w14:textId="363FABD5" w:rsidR="004D7014" w:rsidRPr="004D7014" w:rsidRDefault="004D7014" w:rsidP="004D7014">
      <w:pPr>
        <w:spacing w:line="240" w:lineRule="auto"/>
        <w:ind w:left="567" w:right="849"/>
        <w:contextualSpacing/>
        <w:jc w:val="both"/>
        <w:outlineLvl w:val="1"/>
        <w:rPr>
          <w:i/>
          <w:iCs/>
          <w:sz w:val="24"/>
          <w:szCs w:val="24"/>
        </w:rPr>
      </w:pPr>
      <w:bookmarkStart w:id="91" w:name="_Toc186717008"/>
      <w:bookmarkStart w:id="92" w:name="_Toc186793164"/>
      <w:bookmarkStart w:id="93" w:name="_Toc186808361"/>
      <w:bookmarkStart w:id="94" w:name="_Toc186993212"/>
      <w:bookmarkStart w:id="95" w:name="_Toc187062378"/>
      <w:r>
        <w:rPr>
          <w:i/>
          <w:iCs/>
          <w:sz w:val="24"/>
          <w:szCs w:val="24"/>
        </w:rPr>
        <w:t>“</w:t>
      </w:r>
      <w:r w:rsidRPr="00934787">
        <w:rPr>
          <w:b/>
          <w:bCs/>
          <w:i/>
          <w:iCs/>
          <w:sz w:val="24"/>
          <w:szCs w:val="24"/>
        </w:rPr>
        <w:t>Dunque, le fatture autoprodotte dall'utilizzatore, come sono quelle oggetto dell'imputazione a carico dell'odierno ricorrente, possono integrare a suo carico il reato di frode fiscale e, contemporaneamente, il delitto di cui all'art. 8 D.Lgs. n. 74 del 2000</w:t>
      </w:r>
      <w:r w:rsidRPr="004D7014">
        <w:rPr>
          <w:i/>
          <w:iCs/>
          <w:sz w:val="24"/>
          <w:szCs w:val="24"/>
        </w:rPr>
        <w:t>.</w:t>
      </w:r>
      <w:bookmarkEnd w:id="91"/>
      <w:bookmarkEnd w:id="92"/>
      <w:bookmarkEnd w:id="93"/>
      <w:bookmarkEnd w:id="94"/>
      <w:bookmarkEnd w:id="95"/>
    </w:p>
    <w:p w14:paraId="1D29C037" w14:textId="77777777" w:rsidR="004D7014" w:rsidRPr="004D7014" w:rsidRDefault="004D7014" w:rsidP="004D7014">
      <w:pPr>
        <w:spacing w:line="240" w:lineRule="auto"/>
        <w:ind w:left="567" w:right="849"/>
        <w:contextualSpacing/>
        <w:jc w:val="both"/>
        <w:outlineLvl w:val="1"/>
        <w:rPr>
          <w:i/>
          <w:iCs/>
          <w:sz w:val="24"/>
          <w:szCs w:val="24"/>
        </w:rPr>
      </w:pPr>
      <w:bookmarkStart w:id="96" w:name="_Toc186717009"/>
      <w:bookmarkStart w:id="97" w:name="_Toc186793165"/>
      <w:bookmarkStart w:id="98" w:name="_Toc186808362"/>
      <w:bookmarkStart w:id="99" w:name="_Toc186993213"/>
      <w:bookmarkStart w:id="100" w:name="_Toc187062379"/>
      <w:r w:rsidRPr="004D7014">
        <w:rPr>
          <w:i/>
          <w:iCs/>
          <w:sz w:val="24"/>
          <w:szCs w:val="24"/>
        </w:rPr>
        <w:t>Quanto all'obiezione secondo cui l'art. 8 D.Lgs. n. 74 del 2000 incriminerebbe solo la falsità ideologica oggettiva delle fatture e non anche quella materiale soggettiva, per essere stata la fattura soggettivamente non veritiera in quanto compilata dal ricorrente nei propri confronti a nome di un altro soggetto e, dunque, con una condotta di falsità materiale per contraffazione, va evidenziato come l'area di tipicità ricompresa nella norma dalla prospettazione del ricorrente sia inesatta.</w:t>
      </w:r>
      <w:bookmarkEnd w:id="96"/>
      <w:bookmarkEnd w:id="97"/>
      <w:bookmarkEnd w:id="98"/>
      <w:bookmarkEnd w:id="99"/>
      <w:bookmarkEnd w:id="100"/>
    </w:p>
    <w:p w14:paraId="0BA6FE7D" w14:textId="64FD4F81" w:rsidR="004D7014" w:rsidRPr="004D7014" w:rsidRDefault="004D7014" w:rsidP="004D7014">
      <w:pPr>
        <w:spacing w:line="240" w:lineRule="auto"/>
        <w:ind w:left="567" w:right="849"/>
        <w:contextualSpacing/>
        <w:jc w:val="both"/>
        <w:outlineLvl w:val="1"/>
        <w:rPr>
          <w:i/>
          <w:iCs/>
          <w:sz w:val="24"/>
          <w:szCs w:val="24"/>
        </w:rPr>
      </w:pPr>
      <w:bookmarkStart w:id="101" w:name="_Toc186717010"/>
      <w:bookmarkStart w:id="102" w:name="_Toc186793166"/>
      <w:bookmarkStart w:id="103" w:name="_Toc186808363"/>
      <w:bookmarkStart w:id="104" w:name="_Toc186993214"/>
      <w:bookmarkStart w:id="105" w:name="_Toc187062380"/>
      <w:r w:rsidRPr="004D7014">
        <w:rPr>
          <w:i/>
          <w:iCs/>
          <w:sz w:val="24"/>
          <w:szCs w:val="24"/>
        </w:rPr>
        <w:t>Al di là di qualche accento nella giurisprudenza di legittimità che risulta forse determinato dalla peculiarità della fattispecie concreta decisa e che è stato oggetto di richiamo da parte della difesa e del Procuratore Generale (</w:t>
      </w:r>
      <w:r w:rsidRPr="00934787">
        <w:rPr>
          <w:b/>
          <w:bCs/>
          <w:i/>
          <w:iCs/>
          <w:sz w:val="24"/>
          <w:szCs w:val="24"/>
        </w:rPr>
        <w:t xml:space="preserve">le sentenze Sez. 3, n. 13686 del 1/2/2022, Calamai, Rv. 283037 e Sez. 3, n. 50628 del 2014, </w:t>
      </w:r>
      <w:proofErr w:type="spellStart"/>
      <w:r w:rsidRPr="00934787">
        <w:rPr>
          <w:b/>
          <w:bCs/>
          <w:i/>
          <w:iCs/>
          <w:sz w:val="24"/>
          <w:szCs w:val="24"/>
        </w:rPr>
        <w:t>n.m</w:t>
      </w:r>
      <w:proofErr w:type="spellEnd"/>
      <w:r w:rsidRPr="004D7014">
        <w:rPr>
          <w:i/>
          <w:iCs/>
          <w:sz w:val="24"/>
          <w:szCs w:val="24"/>
        </w:rPr>
        <w:t>.), deve ribadirsi che, in te</w:t>
      </w:r>
      <w:r w:rsidR="00D4628A">
        <w:rPr>
          <w:i/>
          <w:iCs/>
          <w:sz w:val="24"/>
          <w:szCs w:val="24"/>
        </w:rPr>
        <w:t>m</w:t>
      </w:r>
      <w:r w:rsidRPr="004D7014">
        <w:rPr>
          <w:i/>
          <w:iCs/>
          <w:sz w:val="24"/>
          <w:szCs w:val="24"/>
        </w:rPr>
        <w:t xml:space="preserve">a di reati tributari, il delitto di dichiarazione fraudolenta mediante uso di fatture o altri documenti per operazioni inesistenti è configurabile anche nel </w:t>
      </w:r>
      <w:r w:rsidRPr="004D7014">
        <w:rPr>
          <w:i/>
          <w:iCs/>
          <w:sz w:val="24"/>
          <w:szCs w:val="24"/>
        </w:rPr>
        <w:lastRenderedPageBreak/>
        <w:t>caso in cui la falsa documentazione sia stata creata dall'utilizzatore della stessa, che la faccia apparire come proveniente da terzi (</w:t>
      </w:r>
      <w:r w:rsidRPr="00934787">
        <w:rPr>
          <w:b/>
          <w:bCs/>
          <w:i/>
          <w:iCs/>
          <w:sz w:val="24"/>
          <w:szCs w:val="24"/>
        </w:rPr>
        <w:t xml:space="preserve">Sez. 3, n. 13364 del 14/2/2024, </w:t>
      </w:r>
      <w:proofErr w:type="spellStart"/>
      <w:r w:rsidRPr="00934787">
        <w:rPr>
          <w:b/>
          <w:bCs/>
          <w:i/>
          <w:iCs/>
          <w:sz w:val="24"/>
          <w:szCs w:val="24"/>
        </w:rPr>
        <w:t>Dusini</w:t>
      </w:r>
      <w:proofErr w:type="spellEnd"/>
      <w:r w:rsidRPr="00934787">
        <w:rPr>
          <w:b/>
          <w:bCs/>
          <w:i/>
          <w:iCs/>
          <w:sz w:val="24"/>
          <w:szCs w:val="24"/>
        </w:rPr>
        <w:t xml:space="preserve">, </w:t>
      </w:r>
      <w:proofErr w:type="spellStart"/>
      <w:r w:rsidRPr="00934787">
        <w:rPr>
          <w:b/>
          <w:bCs/>
          <w:i/>
          <w:iCs/>
          <w:sz w:val="24"/>
          <w:szCs w:val="24"/>
        </w:rPr>
        <w:t>Rv</w:t>
      </w:r>
      <w:proofErr w:type="spellEnd"/>
      <w:r w:rsidRPr="00934787">
        <w:rPr>
          <w:b/>
          <w:bCs/>
          <w:i/>
          <w:iCs/>
          <w:sz w:val="24"/>
          <w:szCs w:val="24"/>
        </w:rPr>
        <w:t>. 286134</w:t>
      </w:r>
      <w:r w:rsidRPr="004D7014">
        <w:rPr>
          <w:i/>
          <w:iCs/>
          <w:sz w:val="24"/>
          <w:szCs w:val="24"/>
        </w:rPr>
        <w:t>).</w:t>
      </w:r>
      <w:bookmarkEnd w:id="101"/>
      <w:bookmarkEnd w:id="102"/>
      <w:bookmarkEnd w:id="103"/>
      <w:bookmarkEnd w:id="104"/>
      <w:bookmarkEnd w:id="105"/>
    </w:p>
    <w:p w14:paraId="4C62D780" w14:textId="30174E5C" w:rsidR="004D7014" w:rsidRPr="004D7014" w:rsidRDefault="004D7014" w:rsidP="004D7014">
      <w:pPr>
        <w:spacing w:line="240" w:lineRule="auto"/>
        <w:ind w:left="567" w:right="849"/>
        <w:contextualSpacing/>
        <w:jc w:val="both"/>
        <w:outlineLvl w:val="1"/>
        <w:rPr>
          <w:i/>
          <w:iCs/>
          <w:sz w:val="24"/>
          <w:szCs w:val="24"/>
        </w:rPr>
      </w:pPr>
      <w:bookmarkStart w:id="106" w:name="_Toc186717011"/>
      <w:bookmarkStart w:id="107" w:name="_Toc186793167"/>
      <w:bookmarkStart w:id="108" w:name="_Toc186808364"/>
      <w:bookmarkStart w:id="109" w:name="_Toc186993215"/>
      <w:bookmarkStart w:id="110" w:name="_Toc187062381"/>
      <w:r w:rsidRPr="004D7014">
        <w:rPr>
          <w:b/>
          <w:bCs/>
          <w:i/>
          <w:iCs/>
          <w:sz w:val="24"/>
          <w:szCs w:val="24"/>
        </w:rPr>
        <w:t>Ad ogni modo, la questione della dicotomia tra falsità ideologica e falsità materiale è mal posta, poiché ogni falsità materiale da operazione con emittente simulato della fattura può essere anche una falsità ideologica, sicché, pur volendo ammettere la tesi del ricorrente che limita l'area di punibilità del reato di emissione di false fatture alle sole fatture ideologicamente false, nel caso di specie è stato ritenuto provato un doppio profilo di falsità (vi è una ricostruzione molto chiara contenuta a pag. 20 della sentenza impugnata), mentre il ricorso si limita a sostenere apoditticamente che la sentenza confonde le due tipologie di falsità, enunciandone definizioni generali, senza chiarire perché non ricorrerebbe anche una falsità ideologica, come invece afferma la Corte d'Appello, superando l'obiezione proposta del tutto pedissequamente in appello dal ricorrente</w:t>
      </w:r>
      <w:r w:rsidRPr="004D7014">
        <w:rPr>
          <w:i/>
          <w:iCs/>
          <w:sz w:val="24"/>
          <w:szCs w:val="24"/>
        </w:rPr>
        <w:t>.</w:t>
      </w:r>
      <w:r>
        <w:rPr>
          <w:i/>
          <w:iCs/>
          <w:sz w:val="24"/>
          <w:szCs w:val="24"/>
        </w:rPr>
        <w:t>”</w:t>
      </w:r>
      <w:bookmarkEnd w:id="106"/>
      <w:bookmarkEnd w:id="107"/>
      <w:bookmarkEnd w:id="108"/>
      <w:bookmarkEnd w:id="109"/>
      <w:bookmarkEnd w:id="110"/>
    </w:p>
    <w:p w14:paraId="324E2343" w14:textId="77777777" w:rsidR="008F1152" w:rsidRDefault="008F1152" w:rsidP="008F1152">
      <w:pPr>
        <w:pStyle w:val="Paragrafoelenco"/>
        <w:spacing w:line="360" w:lineRule="auto"/>
        <w:ind w:left="425"/>
        <w:jc w:val="both"/>
        <w:outlineLvl w:val="1"/>
        <w:rPr>
          <w:b/>
          <w:bCs/>
          <w:sz w:val="24"/>
          <w:szCs w:val="24"/>
        </w:rPr>
      </w:pPr>
    </w:p>
    <w:p w14:paraId="37B812E4" w14:textId="246B9F43" w:rsidR="00142762" w:rsidRPr="00142762" w:rsidRDefault="00062D8B" w:rsidP="00D44BD1">
      <w:pPr>
        <w:pStyle w:val="Paragrafoelenco"/>
        <w:numPr>
          <w:ilvl w:val="0"/>
          <w:numId w:val="13"/>
        </w:numPr>
        <w:spacing w:line="360" w:lineRule="auto"/>
        <w:ind w:left="425" w:hanging="425"/>
        <w:jc w:val="both"/>
        <w:outlineLvl w:val="1"/>
        <w:rPr>
          <w:b/>
          <w:bCs/>
          <w:sz w:val="24"/>
          <w:szCs w:val="24"/>
        </w:rPr>
      </w:pPr>
      <w:bookmarkStart w:id="111" w:name="_Toc186808365"/>
      <w:bookmarkStart w:id="112" w:name="_Toc186993216"/>
      <w:bookmarkStart w:id="113" w:name="_Toc187062382"/>
      <w:bookmarkStart w:id="114" w:name="_Toc186717012"/>
      <w:bookmarkStart w:id="115" w:name="_Toc186793168"/>
      <w:r>
        <w:rPr>
          <w:b/>
          <w:bCs/>
          <w:sz w:val="24"/>
          <w:szCs w:val="24"/>
        </w:rPr>
        <w:t>CORTE DI CASSAZIONE – TERZA SEZIONE PENALE – NON SI TIENE CONTO DELLE PRESUNZIONI TRIBUTARIE</w:t>
      </w:r>
      <w:bookmarkEnd w:id="111"/>
      <w:bookmarkEnd w:id="112"/>
      <w:bookmarkEnd w:id="113"/>
    </w:p>
    <w:p w14:paraId="68FDE473" w14:textId="77777777" w:rsidR="00142762" w:rsidRDefault="00062D8B" w:rsidP="00142762">
      <w:pPr>
        <w:pStyle w:val="Paragrafoelenco"/>
        <w:numPr>
          <w:ilvl w:val="0"/>
          <w:numId w:val="24"/>
        </w:numPr>
        <w:spacing w:line="360" w:lineRule="auto"/>
        <w:ind w:left="851" w:hanging="425"/>
        <w:jc w:val="both"/>
        <w:outlineLvl w:val="1"/>
        <w:rPr>
          <w:sz w:val="24"/>
          <w:szCs w:val="24"/>
        </w:rPr>
      </w:pPr>
      <w:bookmarkStart w:id="116" w:name="_Toc186808366"/>
      <w:bookmarkStart w:id="117" w:name="_Toc186993217"/>
      <w:bookmarkStart w:id="118" w:name="_Toc187062383"/>
      <w:r w:rsidRPr="00142762">
        <w:rPr>
          <w:b/>
          <w:bCs/>
          <w:sz w:val="24"/>
          <w:szCs w:val="24"/>
        </w:rPr>
        <w:t>Con la sentenza n. 36849 del 22 marzo 2023, depositata il 06 settembre 2023, la Corte di Cassazione – Terza Sezione Penale</w:t>
      </w:r>
      <w:r w:rsidRPr="00142762">
        <w:rPr>
          <w:sz w:val="24"/>
          <w:szCs w:val="24"/>
        </w:rPr>
        <w:t xml:space="preserve"> – è tornata ad affrontare il tema della valenza probatoria delle presunzioni nel procedimento penale ribadendo, nel solco del consolidato orientamento, che le presunzioni legali previste dalle norme tributarie, pur potendo avere valo</w:t>
      </w:r>
      <w:r w:rsidR="008E130C" w:rsidRPr="00142762">
        <w:rPr>
          <w:sz w:val="24"/>
          <w:szCs w:val="24"/>
        </w:rPr>
        <w:t>re</w:t>
      </w:r>
      <w:r w:rsidRPr="00142762">
        <w:rPr>
          <w:sz w:val="24"/>
          <w:szCs w:val="24"/>
        </w:rPr>
        <w:t xml:space="preserve"> indiziario, </w:t>
      </w:r>
      <w:r w:rsidRPr="00D4628A">
        <w:rPr>
          <w:b/>
          <w:sz w:val="24"/>
          <w:szCs w:val="24"/>
        </w:rPr>
        <w:t xml:space="preserve">non possono assurgere di per </w:t>
      </w:r>
      <w:r w:rsidR="008E130C" w:rsidRPr="00D4628A">
        <w:rPr>
          <w:b/>
          <w:sz w:val="24"/>
          <w:szCs w:val="24"/>
        </w:rPr>
        <w:t xml:space="preserve">sé </w:t>
      </w:r>
      <w:r w:rsidRPr="00D4628A">
        <w:rPr>
          <w:b/>
          <w:sz w:val="24"/>
          <w:szCs w:val="24"/>
        </w:rPr>
        <w:t>a prova della commissione di un reato, assumendo piuttosto il valore di dati di fatto liberamente apprezzabili dal giudice penale che necessitano, tuttavia, di riscontri idonei a fornire certezza dell’esistenza della fattispecie criminosa.</w:t>
      </w:r>
      <w:bookmarkStart w:id="119" w:name="_Toc186808367"/>
      <w:bookmarkStart w:id="120" w:name="_Toc186993218"/>
      <w:bookmarkEnd w:id="116"/>
      <w:bookmarkEnd w:id="117"/>
      <w:bookmarkEnd w:id="118"/>
      <w:r w:rsidR="00142762">
        <w:rPr>
          <w:sz w:val="24"/>
          <w:szCs w:val="24"/>
        </w:rPr>
        <w:t xml:space="preserve"> </w:t>
      </w:r>
    </w:p>
    <w:p w14:paraId="51AE84D8" w14:textId="77777777" w:rsidR="00142762" w:rsidRDefault="00062D8B" w:rsidP="00142762">
      <w:pPr>
        <w:pStyle w:val="Paragrafoelenco"/>
        <w:spacing w:line="360" w:lineRule="auto"/>
        <w:ind w:left="851"/>
        <w:jc w:val="both"/>
        <w:outlineLvl w:val="1"/>
        <w:rPr>
          <w:b/>
          <w:bCs/>
          <w:sz w:val="24"/>
          <w:szCs w:val="24"/>
        </w:rPr>
      </w:pPr>
      <w:bookmarkStart w:id="121" w:name="_Toc187062384"/>
      <w:r w:rsidRPr="00142762">
        <w:rPr>
          <w:b/>
          <w:bCs/>
          <w:sz w:val="24"/>
          <w:szCs w:val="24"/>
        </w:rPr>
        <w:t>La suddetta sentenza, dunque, esclude l’automatica trasposizione nel processo penale delle presunzioni tributarie con specifico</w:t>
      </w:r>
      <w:r w:rsidR="00946975" w:rsidRPr="00142762">
        <w:rPr>
          <w:b/>
          <w:bCs/>
          <w:sz w:val="24"/>
          <w:szCs w:val="24"/>
        </w:rPr>
        <w:t xml:space="preserve"> </w:t>
      </w:r>
      <w:r w:rsidRPr="00142762">
        <w:rPr>
          <w:b/>
          <w:bCs/>
          <w:sz w:val="24"/>
          <w:szCs w:val="24"/>
        </w:rPr>
        <w:t>riferimento alle presunzioni afferenti alle movimentazioni bancarie, che trovano disciplina nell’art. 32 del D.P.R. n. 600/1973.</w:t>
      </w:r>
      <w:bookmarkStart w:id="122" w:name="_Toc186808368"/>
      <w:bookmarkStart w:id="123" w:name="_Toc186993219"/>
      <w:bookmarkEnd w:id="119"/>
      <w:bookmarkEnd w:id="120"/>
      <w:bookmarkEnd w:id="121"/>
    </w:p>
    <w:p w14:paraId="44C24229" w14:textId="3A1EFBCC" w:rsidR="00062D8B" w:rsidRPr="00142762" w:rsidRDefault="00062D8B" w:rsidP="00142762">
      <w:pPr>
        <w:pStyle w:val="Paragrafoelenco"/>
        <w:spacing w:line="360" w:lineRule="auto"/>
        <w:ind w:left="851"/>
        <w:jc w:val="both"/>
        <w:outlineLvl w:val="1"/>
        <w:rPr>
          <w:sz w:val="24"/>
          <w:szCs w:val="24"/>
        </w:rPr>
      </w:pPr>
      <w:bookmarkStart w:id="124" w:name="_Toc187062385"/>
      <w:r w:rsidRPr="00946975">
        <w:rPr>
          <w:b/>
          <w:bCs/>
          <w:sz w:val="24"/>
          <w:szCs w:val="24"/>
        </w:rPr>
        <w:t xml:space="preserve">Il suddetto principio è stato più volte ribadito dalla stessa Corte di Cassazione – Terza Sezione Penale – </w:t>
      </w:r>
      <w:r w:rsidR="00946975" w:rsidRPr="00946975">
        <w:rPr>
          <w:b/>
          <w:bCs/>
          <w:sz w:val="24"/>
          <w:szCs w:val="24"/>
        </w:rPr>
        <w:t>con le seguenti sentenze:</w:t>
      </w:r>
      <w:bookmarkEnd w:id="122"/>
      <w:bookmarkEnd w:id="123"/>
      <w:bookmarkEnd w:id="124"/>
    </w:p>
    <w:p w14:paraId="4D895179" w14:textId="61022912" w:rsidR="00946975" w:rsidRPr="00946975" w:rsidRDefault="00946975" w:rsidP="00142762">
      <w:pPr>
        <w:pStyle w:val="Paragrafoelenco"/>
        <w:numPr>
          <w:ilvl w:val="0"/>
          <w:numId w:val="14"/>
        </w:numPr>
        <w:spacing w:line="360" w:lineRule="auto"/>
        <w:ind w:left="1134" w:firstLine="0"/>
        <w:jc w:val="both"/>
        <w:outlineLvl w:val="1"/>
        <w:rPr>
          <w:b/>
          <w:bCs/>
          <w:sz w:val="24"/>
          <w:szCs w:val="24"/>
        </w:rPr>
      </w:pPr>
      <w:bookmarkStart w:id="125" w:name="_Toc186808369"/>
      <w:bookmarkStart w:id="126" w:name="_Toc186993220"/>
      <w:bookmarkStart w:id="127" w:name="_Toc187062386"/>
      <w:r w:rsidRPr="00946975">
        <w:rPr>
          <w:b/>
          <w:bCs/>
          <w:sz w:val="24"/>
          <w:szCs w:val="24"/>
        </w:rPr>
        <w:t>n. 15899/2016;</w:t>
      </w:r>
      <w:bookmarkEnd w:id="125"/>
      <w:bookmarkEnd w:id="126"/>
      <w:bookmarkEnd w:id="127"/>
    </w:p>
    <w:p w14:paraId="18E50363" w14:textId="6CC28F64" w:rsidR="00946975" w:rsidRPr="00946975" w:rsidRDefault="00946975" w:rsidP="00142762">
      <w:pPr>
        <w:pStyle w:val="Paragrafoelenco"/>
        <w:numPr>
          <w:ilvl w:val="0"/>
          <w:numId w:val="14"/>
        </w:numPr>
        <w:spacing w:line="360" w:lineRule="auto"/>
        <w:ind w:left="1134" w:firstLine="0"/>
        <w:jc w:val="both"/>
        <w:outlineLvl w:val="1"/>
        <w:rPr>
          <w:b/>
          <w:bCs/>
          <w:sz w:val="24"/>
          <w:szCs w:val="24"/>
        </w:rPr>
      </w:pPr>
      <w:bookmarkStart w:id="128" w:name="_Toc186808370"/>
      <w:bookmarkStart w:id="129" w:name="_Toc186993221"/>
      <w:bookmarkStart w:id="130" w:name="_Toc187062387"/>
      <w:r w:rsidRPr="00946975">
        <w:rPr>
          <w:b/>
          <w:bCs/>
          <w:sz w:val="24"/>
          <w:szCs w:val="24"/>
        </w:rPr>
        <w:t>n. 36915/2020.</w:t>
      </w:r>
      <w:bookmarkEnd w:id="128"/>
      <w:bookmarkEnd w:id="129"/>
      <w:bookmarkEnd w:id="130"/>
    </w:p>
    <w:p w14:paraId="2AF2465F" w14:textId="219702ED" w:rsidR="00142762" w:rsidRPr="00142762" w:rsidRDefault="00142762" w:rsidP="00142762">
      <w:pPr>
        <w:pStyle w:val="Paragrafoelenco"/>
        <w:numPr>
          <w:ilvl w:val="0"/>
          <w:numId w:val="24"/>
        </w:numPr>
        <w:spacing w:line="360" w:lineRule="auto"/>
        <w:jc w:val="both"/>
        <w:outlineLvl w:val="1"/>
        <w:rPr>
          <w:bCs/>
          <w:sz w:val="24"/>
          <w:szCs w:val="24"/>
        </w:rPr>
      </w:pPr>
      <w:bookmarkStart w:id="131" w:name="_Toc187062388"/>
      <w:r w:rsidRPr="00142762">
        <w:rPr>
          <w:bCs/>
          <w:sz w:val="24"/>
          <w:szCs w:val="24"/>
        </w:rPr>
        <w:t xml:space="preserve">La </w:t>
      </w:r>
      <w:r>
        <w:rPr>
          <w:bCs/>
          <w:sz w:val="24"/>
          <w:szCs w:val="24"/>
        </w:rPr>
        <w:t>costante giurisprudenza della Corte di Cassazione – Terza Sezione Penale – ha stabilito lo stop alla condanna se c’è la dichiarazione fraudolenta ma manca il dolo specifico di evadere le imposte, in quanto va chiarito sempre il fine nell’utilizzazione delle fatture per operazioni inesistenti indicate nella denuncia fiscale (in tal senso, sentenze n. 46749/2024; n. 37131/2024; n. 41891/2024 e n. 26520/2024).</w:t>
      </w:r>
      <w:bookmarkEnd w:id="131"/>
      <w:r>
        <w:rPr>
          <w:bCs/>
          <w:sz w:val="24"/>
          <w:szCs w:val="24"/>
        </w:rPr>
        <w:t xml:space="preserve"> </w:t>
      </w:r>
    </w:p>
    <w:p w14:paraId="73234660" w14:textId="712B3E51" w:rsidR="00736075" w:rsidRDefault="00831E78" w:rsidP="00D44BD1">
      <w:pPr>
        <w:pStyle w:val="Paragrafoelenco"/>
        <w:numPr>
          <w:ilvl w:val="0"/>
          <w:numId w:val="13"/>
        </w:numPr>
        <w:spacing w:line="360" w:lineRule="auto"/>
        <w:ind w:left="425" w:hanging="425"/>
        <w:jc w:val="both"/>
        <w:outlineLvl w:val="1"/>
        <w:rPr>
          <w:b/>
          <w:bCs/>
          <w:sz w:val="24"/>
          <w:szCs w:val="24"/>
        </w:rPr>
      </w:pPr>
      <w:bookmarkStart w:id="132" w:name="_Toc186808371"/>
      <w:bookmarkStart w:id="133" w:name="_Toc186993222"/>
      <w:bookmarkStart w:id="134" w:name="_Toc187062389"/>
      <w:r>
        <w:rPr>
          <w:b/>
          <w:bCs/>
          <w:sz w:val="24"/>
          <w:szCs w:val="24"/>
        </w:rPr>
        <w:lastRenderedPageBreak/>
        <w:t xml:space="preserve">CORTE DI </w:t>
      </w:r>
      <w:r w:rsidR="00B14B18">
        <w:rPr>
          <w:b/>
          <w:bCs/>
          <w:sz w:val="24"/>
          <w:szCs w:val="24"/>
        </w:rPr>
        <w:t xml:space="preserve">CASSAZIONE </w:t>
      </w:r>
      <w:r>
        <w:rPr>
          <w:b/>
          <w:bCs/>
          <w:sz w:val="24"/>
          <w:szCs w:val="24"/>
        </w:rPr>
        <w:t xml:space="preserve">– TERZA SEZIONE </w:t>
      </w:r>
      <w:r w:rsidR="00B14B18">
        <w:rPr>
          <w:b/>
          <w:bCs/>
          <w:sz w:val="24"/>
          <w:szCs w:val="24"/>
        </w:rPr>
        <w:t>PENALE – NESSUNA DIFFERENZA TRA OPERAZIONE INESISTENTE OGGETTIVA E SOGGETTIVA</w:t>
      </w:r>
      <w:bookmarkEnd w:id="85"/>
      <w:bookmarkEnd w:id="114"/>
      <w:bookmarkEnd w:id="115"/>
      <w:bookmarkEnd w:id="132"/>
      <w:bookmarkEnd w:id="133"/>
      <w:bookmarkEnd w:id="134"/>
      <w:r w:rsidR="00B14B18">
        <w:rPr>
          <w:b/>
          <w:bCs/>
          <w:sz w:val="24"/>
          <w:szCs w:val="24"/>
        </w:rPr>
        <w:t xml:space="preserve"> </w:t>
      </w:r>
    </w:p>
    <w:p w14:paraId="3647BBEC" w14:textId="3B5E6836" w:rsidR="00B14B18" w:rsidRDefault="00B14B18" w:rsidP="00B14B18">
      <w:pPr>
        <w:spacing w:line="360" w:lineRule="auto"/>
        <w:ind w:right="-1"/>
        <w:jc w:val="both"/>
        <w:rPr>
          <w:b/>
          <w:bCs/>
          <w:sz w:val="24"/>
          <w:szCs w:val="24"/>
        </w:rPr>
      </w:pPr>
      <w:r w:rsidRPr="00996C11">
        <w:rPr>
          <w:b/>
          <w:bCs/>
          <w:sz w:val="24"/>
          <w:szCs w:val="24"/>
        </w:rPr>
        <w:t>La Corte di Cassazione – Terza Sezione Penale –, già con la sentenza n. 29977/2019</w:t>
      </w:r>
      <w:r w:rsidR="00996C11" w:rsidRPr="00996C11">
        <w:rPr>
          <w:b/>
          <w:bCs/>
          <w:sz w:val="24"/>
          <w:szCs w:val="24"/>
        </w:rPr>
        <w:t>, ha stabilito che:</w:t>
      </w:r>
    </w:p>
    <w:p w14:paraId="69406BA9" w14:textId="3B35FF97" w:rsidR="00996C11" w:rsidRPr="00996C11" w:rsidRDefault="00996C11" w:rsidP="00996C11">
      <w:pPr>
        <w:spacing w:line="240" w:lineRule="auto"/>
        <w:ind w:left="567" w:right="849"/>
        <w:contextualSpacing/>
        <w:jc w:val="both"/>
        <w:rPr>
          <w:i/>
          <w:iCs/>
          <w:sz w:val="24"/>
          <w:szCs w:val="24"/>
        </w:rPr>
      </w:pPr>
      <w:r w:rsidRPr="00996C11">
        <w:rPr>
          <w:i/>
          <w:iCs/>
          <w:sz w:val="24"/>
          <w:szCs w:val="24"/>
        </w:rPr>
        <w:t>“In real</w:t>
      </w:r>
      <w:r w:rsidR="004D7014">
        <w:rPr>
          <w:i/>
          <w:iCs/>
          <w:sz w:val="24"/>
          <w:szCs w:val="24"/>
        </w:rPr>
        <w:t>tà</w:t>
      </w:r>
      <w:r w:rsidRPr="00996C11">
        <w:rPr>
          <w:i/>
          <w:iCs/>
          <w:sz w:val="24"/>
          <w:szCs w:val="24"/>
        </w:rPr>
        <w:t>, secondo quanto gi</w:t>
      </w:r>
      <w:r w:rsidR="004D7014">
        <w:rPr>
          <w:i/>
          <w:iCs/>
          <w:sz w:val="24"/>
          <w:szCs w:val="24"/>
        </w:rPr>
        <w:t xml:space="preserve">à </w:t>
      </w:r>
      <w:r w:rsidRPr="00996C11">
        <w:rPr>
          <w:i/>
          <w:iCs/>
          <w:sz w:val="24"/>
          <w:szCs w:val="24"/>
        </w:rPr>
        <w:t>affermato dalla giurisprudenza di questo Corte (</w:t>
      </w:r>
      <w:r w:rsidRPr="00934787">
        <w:rPr>
          <w:b/>
          <w:bCs/>
          <w:i/>
          <w:iCs/>
          <w:sz w:val="24"/>
          <w:szCs w:val="24"/>
        </w:rPr>
        <w:t>Sez. 3, n. 19012, del 11/02/2015</w:t>
      </w:r>
      <w:r w:rsidRPr="00996C11">
        <w:rPr>
          <w:i/>
          <w:iCs/>
          <w:sz w:val="24"/>
          <w:szCs w:val="24"/>
        </w:rPr>
        <w:t xml:space="preserve">) i costi per operazioni che siano inesistenti, </w:t>
      </w:r>
      <w:r w:rsidRPr="00996C11">
        <w:rPr>
          <w:b/>
          <w:bCs/>
          <w:i/>
          <w:iCs/>
          <w:sz w:val="24"/>
          <w:szCs w:val="24"/>
        </w:rPr>
        <w:t>anche solo sul piano soggettivo</w:t>
      </w:r>
      <w:r w:rsidRPr="00996C11">
        <w:rPr>
          <w:i/>
          <w:iCs/>
          <w:sz w:val="24"/>
          <w:szCs w:val="24"/>
        </w:rPr>
        <w:t>, non sono mai deducibili; con la conseguenza che la loro indicazione quali costi in dichiarazione configura una finalit</w:t>
      </w:r>
      <w:r w:rsidR="004D7014">
        <w:rPr>
          <w:i/>
          <w:iCs/>
          <w:sz w:val="24"/>
          <w:szCs w:val="24"/>
        </w:rPr>
        <w:t xml:space="preserve">à </w:t>
      </w:r>
      <w:r w:rsidRPr="00996C11">
        <w:rPr>
          <w:i/>
          <w:iCs/>
          <w:sz w:val="24"/>
          <w:szCs w:val="24"/>
        </w:rPr>
        <w:t xml:space="preserve">di evasione e realizza un corrispondente profitto. Ed </w:t>
      </w:r>
      <w:proofErr w:type="spellStart"/>
      <w:r w:rsidRPr="00996C11">
        <w:rPr>
          <w:i/>
          <w:iCs/>
          <w:sz w:val="24"/>
          <w:szCs w:val="24"/>
        </w:rPr>
        <w:t>e'</w:t>
      </w:r>
      <w:proofErr w:type="spellEnd"/>
      <w:r w:rsidRPr="00996C11">
        <w:rPr>
          <w:i/>
          <w:iCs/>
          <w:sz w:val="24"/>
          <w:szCs w:val="24"/>
        </w:rPr>
        <w:t xml:space="preserve"> del tutto irrilevante, in questi casi, la circostanza che, pur avendo sostenuto tali costi nei confronti del soggetto fittiziamente interposto, la </w:t>
      </w:r>
      <w:proofErr w:type="spellStart"/>
      <w:r w:rsidRPr="00996C11">
        <w:rPr>
          <w:i/>
          <w:iCs/>
          <w:sz w:val="24"/>
          <w:szCs w:val="24"/>
        </w:rPr>
        <w:t>societa'</w:t>
      </w:r>
      <w:proofErr w:type="spellEnd"/>
      <w:r w:rsidRPr="00996C11">
        <w:rPr>
          <w:i/>
          <w:iCs/>
          <w:sz w:val="24"/>
          <w:szCs w:val="24"/>
        </w:rPr>
        <w:t xml:space="preserve"> sia tenuta a corrispondere nuovamente l'Iva al soggetto che realmente ha fornito la prestazione, </w:t>
      </w:r>
      <w:proofErr w:type="spellStart"/>
      <w:r w:rsidRPr="00996C11">
        <w:rPr>
          <w:i/>
          <w:iCs/>
          <w:sz w:val="24"/>
          <w:szCs w:val="24"/>
        </w:rPr>
        <w:t>perche</w:t>
      </w:r>
      <w:proofErr w:type="spellEnd"/>
      <w:r w:rsidRPr="00996C11">
        <w:rPr>
          <w:i/>
          <w:iCs/>
          <w:sz w:val="24"/>
          <w:szCs w:val="24"/>
        </w:rPr>
        <w:t xml:space="preserve">' tale inconveniente </w:t>
      </w:r>
      <w:proofErr w:type="spellStart"/>
      <w:r w:rsidRPr="00996C11">
        <w:rPr>
          <w:i/>
          <w:iCs/>
          <w:sz w:val="24"/>
          <w:szCs w:val="24"/>
        </w:rPr>
        <w:t>e'</w:t>
      </w:r>
      <w:proofErr w:type="spellEnd"/>
      <w:r w:rsidRPr="00996C11">
        <w:rPr>
          <w:i/>
          <w:iCs/>
          <w:sz w:val="24"/>
          <w:szCs w:val="24"/>
        </w:rPr>
        <w:t xml:space="preserve"> la normale conseguenza di ogni interposizione fittizia.</w:t>
      </w:r>
    </w:p>
    <w:p w14:paraId="5D9A8581" w14:textId="68EDC302" w:rsidR="008862F4" w:rsidRDefault="00996C11" w:rsidP="00F863B7">
      <w:pPr>
        <w:spacing w:line="240" w:lineRule="auto"/>
        <w:ind w:left="567" w:right="849"/>
        <w:contextualSpacing/>
        <w:jc w:val="both"/>
        <w:rPr>
          <w:i/>
          <w:iCs/>
          <w:sz w:val="24"/>
          <w:szCs w:val="24"/>
        </w:rPr>
      </w:pPr>
      <w:r w:rsidRPr="00996C11">
        <w:rPr>
          <w:i/>
          <w:iCs/>
          <w:sz w:val="24"/>
          <w:szCs w:val="24"/>
        </w:rPr>
        <w:t xml:space="preserve">Si giunge a tali conclusioni sulla base della considerazione che la detrazione Iva </w:t>
      </w:r>
      <w:proofErr w:type="spellStart"/>
      <w:r w:rsidRPr="00996C11">
        <w:rPr>
          <w:i/>
          <w:iCs/>
          <w:sz w:val="24"/>
          <w:szCs w:val="24"/>
        </w:rPr>
        <w:t>e'</w:t>
      </w:r>
      <w:proofErr w:type="spellEnd"/>
      <w:r w:rsidRPr="00996C11">
        <w:rPr>
          <w:i/>
          <w:iCs/>
          <w:sz w:val="24"/>
          <w:szCs w:val="24"/>
        </w:rPr>
        <w:t xml:space="preserve"> ammessa solo in presenza di fatture provenienti dal soggetto che effettua la cessione o la prestazione. </w:t>
      </w:r>
      <w:r w:rsidRPr="00934787">
        <w:rPr>
          <w:b/>
          <w:bCs/>
          <w:i/>
          <w:iCs/>
          <w:sz w:val="24"/>
          <w:szCs w:val="24"/>
        </w:rPr>
        <w:t xml:space="preserve">Non entrano, </w:t>
      </w:r>
      <w:proofErr w:type="spellStart"/>
      <w:r w:rsidRPr="00934787">
        <w:rPr>
          <w:b/>
          <w:bCs/>
          <w:i/>
          <w:iCs/>
          <w:sz w:val="24"/>
          <w:szCs w:val="24"/>
        </w:rPr>
        <w:t>cioe'</w:t>
      </w:r>
      <w:proofErr w:type="spellEnd"/>
      <w:r w:rsidRPr="00934787">
        <w:rPr>
          <w:b/>
          <w:bCs/>
          <w:i/>
          <w:iCs/>
          <w:sz w:val="24"/>
          <w:szCs w:val="24"/>
        </w:rPr>
        <w:t xml:space="preserve">, nel conteggio del dare ed avere ai fini Iva le fatture emesse da chi non </w:t>
      </w:r>
      <w:proofErr w:type="spellStart"/>
      <w:r w:rsidRPr="00934787">
        <w:rPr>
          <w:b/>
          <w:bCs/>
          <w:i/>
          <w:iCs/>
          <w:sz w:val="24"/>
          <w:szCs w:val="24"/>
        </w:rPr>
        <w:t>e'</w:t>
      </w:r>
      <w:proofErr w:type="spellEnd"/>
      <w:r w:rsidRPr="00934787">
        <w:rPr>
          <w:b/>
          <w:bCs/>
          <w:i/>
          <w:iCs/>
          <w:sz w:val="24"/>
          <w:szCs w:val="24"/>
        </w:rPr>
        <w:t xml:space="preserve"> stato controparte nel rapporto relativo alle operazioni fatturate. Ed a nulla rileva che le medesime fatture costituiscano la "copertura" di prestazioni acquisite da altri soggetti</w:t>
      </w:r>
      <w:r w:rsidRPr="00996C11">
        <w:rPr>
          <w:i/>
          <w:iCs/>
          <w:sz w:val="24"/>
          <w:szCs w:val="24"/>
        </w:rPr>
        <w:t>.”</w:t>
      </w:r>
    </w:p>
    <w:p w14:paraId="4EB06D20" w14:textId="77777777" w:rsidR="00F863B7" w:rsidRPr="00F863B7" w:rsidRDefault="00F863B7" w:rsidP="00F863B7">
      <w:pPr>
        <w:spacing w:line="240" w:lineRule="auto"/>
        <w:ind w:left="567" w:right="849"/>
        <w:contextualSpacing/>
        <w:jc w:val="both"/>
        <w:rPr>
          <w:i/>
          <w:iCs/>
          <w:sz w:val="24"/>
          <w:szCs w:val="24"/>
        </w:rPr>
      </w:pPr>
    </w:p>
    <w:p w14:paraId="1CD85394" w14:textId="0767E733" w:rsidR="007F3130" w:rsidRPr="007F3130" w:rsidRDefault="007F3130" w:rsidP="00B14B18">
      <w:pPr>
        <w:spacing w:line="360" w:lineRule="auto"/>
        <w:ind w:right="-1"/>
        <w:jc w:val="both"/>
        <w:rPr>
          <w:i/>
          <w:iCs/>
          <w:sz w:val="24"/>
          <w:szCs w:val="24"/>
        </w:rPr>
      </w:pPr>
      <w:r>
        <w:rPr>
          <w:b/>
          <w:bCs/>
          <w:sz w:val="24"/>
          <w:szCs w:val="24"/>
        </w:rPr>
        <w:t xml:space="preserve">La Corte di Cassazione – Terza Sezione Penale – con la citata sentenza n. 36849/2023 ha ribadito </w:t>
      </w:r>
      <w:r w:rsidRPr="007F3130">
        <w:rPr>
          <w:i/>
          <w:iCs/>
          <w:sz w:val="24"/>
          <w:szCs w:val="24"/>
        </w:rPr>
        <w:t>che:</w:t>
      </w:r>
    </w:p>
    <w:p w14:paraId="568364D1" w14:textId="6BFA08C6" w:rsidR="007F3130" w:rsidRPr="007F3130" w:rsidRDefault="007F3130" w:rsidP="007F3130">
      <w:pPr>
        <w:spacing w:line="240" w:lineRule="auto"/>
        <w:ind w:left="567" w:right="849"/>
        <w:jc w:val="both"/>
        <w:rPr>
          <w:i/>
          <w:iCs/>
          <w:sz w:val="24"/>
          <w:szCs w:val="24"/>
        </w:rPr>
      </w:pPr>
      <w:r w:rsidRPr="007F3130">
        <w:rPr>
          <w:i/>
          <w:iCs/>
          <w:sz w:val="24"/>
          <w:szCs w:val="24"/>
        </w:rPr>
        <w:t xml:space="preserve">“Nessun pregio ha la tesi in merito all'asserita rilevanza dell'avvenuta introduzione, per effetto della entrata in vigore del D.Lgs. n. 158 del 2015, fra le disposizioni aventi carattere definitorio contenute nell'art. 1 del D.Lgs. n. 74 del 2000 della lettera g-bis), </w:t>
      </w:r>
      <w:r w:rsidRPr="00D4628A">
        <w:rPr>
          <w:b/>
          <w:i/>
          <w:iCs/>
          <w:sz w:val="24"/>
          <w:szCs w:val="24"/>
        </w:rPr>
        <w:t>la quale definisce le operazioni simulate oggettivamente o soggettivamente</w:t>
      </w:r>
      <w:r w:rsidRPr="007F3130">
        <w:rPr>
          <w:i/>
          <w:iCs/>
          <w:sz w:val="24"/>
          <w:szCs w:val="24"/>
        </w:rPr>
        <w:t>, atteso che, anche "</w:t>
      </w:r>
      <w:r w:rsidR="00C326E2">
        <w:rPr>
          <w:i/>
          <w:iCs/>
          <w:sz w:val="24"/>
          <w:szCs w:val="24"/>
        </w:rPr>
        <w:t xml:space="preserve">a </w:t>
      </w:r>
      <w:r w:rsidRPr="007F3130">
        <w:rPr>
          <w:i/>
          <w:iCs/>
          <w:sz w:val="24"/>
          <w:szCs w:val="24"/>
        </w:rPr>
        <w:t xml:space="preserve">seguito della citata novella, la condotta di emissione di fatture per operazioni soggettivamente inesistenti non è assorbita in quella di compimento di operazioni simulate soggettivamente, in quanto in base alla immutata definizione contenuta nella lett. a) dello stesso art. 1 del D.Lgs. n. 74 del 2000 , </w:t>
      </w:r>
      <w:r w:rsidRPr="00C326E2">
        <w:rPr>
          <w:b/>
          <w:i/>
          <w:iCs/>
          <w:sz w:val="24"/>
          <w:szCs w:val="24"/>
        </w:rPr>
        <w:t>sono fatture per operazioni inesistenti anche quelle che riferiscono l'operazione a soggetti diversi da quelli effettivi; ne consegue che il discrimine tra i reati previsti, rispettivamente, dagli artt. 2 e 3 del D.Lgs. n.. n. 74 del 2000 non è dato dalla natura dell'operazione ma dal modo in cui essa è documentata</w:t>
      </w:r>
      <w:r w:rsidRPr="007F3130">
        <w:rPr>
          <w:i/>
          <w:iCs/>
          <w:sz w:val="24"/>
          <w:szCs w:val="24"/>
        </w:rPr>
        <w:t xml:space="preserve"> (</w:t>
      </w:r>
      <w:r w:rsidRPr="007F3130">
        <w:rPr>
          <w:b/>
          <w:bCs/>
          <w:i/>
          <w:iCs/>
          <w:sz w:val="24"/>
          <w:szCs w:val="24"/>
        </w:rPr>
        <w:t xml:space="preserve">cfr. Corte di cassazione, Sezione III penale, </w:t>
      </w:r>
      <w:r w:rsidR="00C326E2">
        <w:rPr>
          <w:b/>
          <w:bCs/>
          <w:i/>
          <w:iCs/>
          <w:sz w:val="24"/>
          <w:szCs w:val="24"/>
        </w:rPr>
        <w:t>0</w:t>
      </w:r>
      <w:r w:rsidRPr="007F3130">
        <w:rPr>
          <w:b/>
          <w:bCs/>
          <w:i/>
          <w:iCs/>
          <w:sz w:val="24"/>
          <w:szCs w:val="24"/>
        </w:rPr>
        <w:t>1 agosto 2017, n. 38185</w:t>
      </w:r>
      <w:r w:rsidRPr="007F3130">
        <w:rPr>
          <w:i/>
          <w:iCs/>
          <w:sz w:val="24"/>
          <w:szCs w:val="24"/>
        </w:rPr>
        <w:t>).”</w:t>
      </w:r>
    </w:p>
    <w:p w14:paraId="755EEF90" w14:textId="1D72A669" w:rsidR="00996C11" w:rsidRPr="004D7014" w:rsidRDefault="008862F4" w:rsidP="00B14B18">
      <w:pPr>
        <w:spacing w:line="360" w:lineRule="auto"/>
        <w:ind w:right="-1"/>
        <w:jc w:val="both"/>
        <w:rPr>
          <w:b/>
          <w:bCs/>
          <w:sz w:val="24"/>
          <w:szCs w:val="24"/>
        </w:rPr>
      </w:pPr>
      <w:r w:rsidRPr="004D7014">
        <w:rPr>
          <w:b/>
          <w:bCs/>
          <w:sz w:val="24"/>
          <w:szCs w:val="24"/>
        </w:rPr>
        <w:t>La suddetta equiparazione è stata</w:t>
      </w:r>
      <w:r w:rsidR="00C326E2">
        <w:rPr>
          <w:b/>
          <w:bCs/>
          <w:sz w:val="24"/>
          <w:szCs w:val="24"/>
        </w:rPr>
        <w:t xml:space="preserve"> sempre</w:t>
      </w:r>
      <w:r w:rsidRPr="004D7014">
        <w:rPr>
          <w:b/>
          <w:bCs/>
          <w:sz w:val="24"/>
          <w:szCs w:val="24"/>
        </w:rPr>
        <w:t xml:space="preserve"> ribadita in sede penale con le seguenti sentenze della Corte di Cassazione – Terza Sezione Penale:</w:t>
      </w:r>
    </w:p>
    <w:p w14:paraId="3CD867A0" w14:textId="105893D1" w:rsidR="008862F4" w:rsidRPr="004D7014" w:rsidRDefault="008862F4" w:rsidP="008862F4">
      <w:pPr>
        <w:pStyle w:val="Paragrafoelenco"/>
        <w:numPr>
          <w:ilvl w:val="0"/>
          <w:numId w:val="6"/>
        </w:numPr>
        <w:spacing w:line="360" w:lineRule="auto"/>
        <w:ind w:right="-1"/>
        <w:jc w:val="both"/>
        <w:rPr>
          <w:b/>
          <w:bCs/>
          <w:sz w:val="24"/>
          <w:szCs w:val="24"/>
        </w:rPr>
      </w:pPr>
      <w:r w:rsidRPr="004D7014">
        <w:rPr>
          <w:b/>
          <w:bCs/>
          <w:sz w:val="24"/>
          <w:szCs w:val="24"/>
        </w:rPr>
        <w:t xml:space="preserve">n. 52411/20218; </w:t>
      </w:r>
    </w:p>
    <w:p w14:paraId="3071C33E" w14:textId="04232B51" w:rsidR="008862F4" w:rsidRPr="004D7014" w:rsidRDefault="008862F4" w:rsidP="008862F4">
      <w:pPr>
        <w:pStyle w:val="Paragrafoelenco"/>
        <w:numPr>
          <w:ilvl w:val="0"/>
          <w:numId w:val="6"/>
        </w:numPr>
        <w:spacing w:line="360" w:lineRule="auto"/>
        <w:ind w:right="-1"/>
        <w:jc w:val="both"/>
        <w:rPr>
          <w:b/>
          <w:bCs/>
          <w:sz w:val="24"/>
          <w:szCs w:val="24"/>
        </w:rPr>
      </w:pPr>
      <w:r w:rsidRPr="004D7014">
        <w:rPr>
          <w:b/>
          <w:bCs/>
          <w:sz w:val="24"/>
          <w:szCs w:val="24"/>
        </w:rPr>
        <w:t>n. 12680/2020;</w:t>
      </w:r>
    </w:p>
    <w:p w14:paraId="44E00214" w14:textId="7B9AB34C" w:rsidR="00076E83" w:rsidRPr="00076E83" w:rsidRDefault="00076E83" w:rsidP="008862F4">
      <w:pPr>
        <w:pStyle w:val="Paragrafoelenco"/>
        <w:numPr>
          <w:ilvl w:val="0"/>
          <w:numId w:val="6"/>
        </w:numPr>
        <w:spacing w:line="360" w:lineRule="auto"/>
        <w:ind w:right="-1"/>
        <w:jc w:val="both"/>
        <w:rPr>
          <w:b/>
          <w:bCs/>
          <w:sz w:val="24"/>
          <w:szCs w:val="24"/>
        </w:rPr>
      </w:pPr>
      <w:r w:rsidRPr="00076E83">
        <w:rPr>
          <w:b/>
          <w:bCs/>
          <w:sz w:val="24"/>
          <w:szCs w:val="24"/>
        </w:rPr>
        <w:t>n. 1998/2020;</w:t>
      </w:r>
    </w:p>
    <w:p w14:paraId="7F907A1A" w14:textId="6B4EB0C2" w:rsidR="008862F4" w:rsidRDefault="008862F4" w:rsidP="008862F4">
      <w:pPr>
        <w:pStyle w:val="Paragrafoelenco"/>
        <w:numPr>
          <w:ilvl w:val="0"/>
          <w:numId w:val="6"/>
        </w:numPr>
        <w:spacing w:line="360" w:lineRule="auto"/>
        <w:ind w:right="-1"/>
        <w:jc w:val="both"/>
        <w:rPr>
          <w:sz w:val="24"/>
          <w:szCs w:val="24"/>
        </w:rPr>
      </w:pPr>
      <w:r w:rsidRPr="004D7014">
        <w:rPr>
          <w:b/>
          <w:bCs/>
          <w:sz w:val="24"/>
          <w:szCs w:val="24"/>
        </w:rPr>
        <w:t>n. 13096/2023.</w:t>
      </w:r>
      <w:r>
        <w:rPr>
          <w:sz w:val="24"/>
          <w:szCs w:val="24"/>
        </w:rPr>
        <w:t xml:space="preserve"> </w:t>
      </w:r>
    </w:p>
    <w:p w14:paraId="4522A419" w14:textId="77777777" w:rsidR="00C326E2" w:rsidRDefault="00D53091" w:rsidP="00C326E2">
      <w:pPr>
        <w:spacing w:line="360" w:lineRule="auto"/>
        <w:contextualSpacing/>
        <w:jc w:val="both"/>
        <w:rPr>
          <w:sz w:val="24"/>
          <w:szCs w:val="24"/>
        </w:rPr>
      </w:pPr>
      <w:r>
        <w:rPr>
          <w:sz w:val="24"/>
          <w:szCs w:val="24"/>
        </w:rPr>
        <w:lastRenderedPageBreak/>
        <w:t xml:space="preserve">In definitiva, </w:t>
      </w:r>
      <w:r w:rsidR="004D7014">
        <w:rPr>
          <w:sz w:val="24"/>
          <w:szCs w:val="24"/>
        </w:rPr>
        <w:t xml:space="preserve">secondo la giurisprudenza citata, </w:t>
      </w:r>
      <w:r w:rsidRPr="00D53091">
        <w:rPr>
          <w:sz w:val="24"/>
          <w:szCs w:val="24"/>
        </w:rPr>
        <w:t xml:space="preserve">deriva che il principio di correlazione fra accusa e sentenza non </w:t>
      </w:r>
      <w:r>
        <w:rPr>
          <w:sz w:val="24"/>
          <w:szCs w:val="24"/>
        </w:rPr>
        <w:t>è</w:t>
      </w:r>
      <w:r w:rsidRPr="00D53091">
        <w:rPr>
          <w:sz w:val="24"/>
          <w:szCs w:val="24"/>
        </w:rPr>
        <w:t xml:space="preserve"> violato quando sia stata pronunciata condanna per utilizzazione o emissione di fatture solo oggettivamente, in parte, inesistenti, </w:t>
      </w:r>
      <w:r w:rsidRPr="00934787">
        <w:rPr>
          <w:b/>
          <w:bCs/>
          <w:sz w:val="24"/>
          <w:szCs w:val="24"/>
        </w:rPr>
        <w:t>o anche soggettivamente</w:t>
      </w:r>
      <w:r w:rsidRPr="00D53091">
        <w:rPr>
          <w:sz w:val="24"/>
          <w:szCs w:val="24"/>
        </w:rPr>
        <w:t xml:space="preserve"> </w:t>
      </w:r>
      <w:r w:rsidRPr="00934787">
        <w:rPr>
          <w:b/>
          <w:bCs/>
          <w:sz w:val="24"/>
          <w:szCs w:val="24"/>
        </w:rPr>
        <w:t>tali</w:t>
      </w:r>
      <w:r w:rsidRPr="00D53091">
        <w:rPr>
          <w:sz w:val="24"/>
          <w:szCs w:val="24"/>
        </w:rPr>
        <w:t xml:space="preserve">, a fronte di una originaria contestazione di utilizzazione o emissione di fatture oggettivamente, in tutto, inesistenti, </w:t>
      </w:r>
      <w:r>
        <w:rPr>
          <w:sz w:val="24"/>
          <w:szCs w:val="24"/>
        </w:rPr>
        <w:t xml:space="preserve">poiché </w:t>
      </w:r>
      <w:r w:rsidRPr="00D53091">
        <w:rPr>
          <w:sz w:val="24"/>
          <w:szCs w:val="24"/>
        </w:rPr>
        <w:t>si tratta di condotte che coincidono</w:t>
      </w:r>
      <w:r w:rsidR="00C326E2">
        <w:rPr>
          <w:sz w:val="24"/>
          <w:szCs w:val="24"/>
        </w:rPr>
        <w:t xml:space="preserve">, </w:t>
      </w:r>
      <w:r w:rsidRPr="00D53091">
        <w:rPr>
          <w:sz w:val="24"/>
          <w:szCs w:val="24"/>
        </w:rPr>
        <w:t>quanto al nucleo essenziale dell'antigiuridicit</w:t>
      </w:r>
      <w:r>
        <w:rPr>
          <w:sz w:val="24"/>
          <w:szCs w:val="24"/>
        </w:rPr>
        <w:t>à</w:t>
      </w:r>
      <w:r w:rsidRPr="00D53091">
        <w:rPr>
          <w:sz w:val="24"/>
          <w:szCs w:val="24"/>
        </w:rPr>
        <w:t xml:space="preserve">, da individuarsi, per tutte, proprio nella circostanza che il fatto incriminato </w:t>
      </w:r>
      <w:r>
        <w:rPr>
          <w:sz w:val="24"/>
          <w:szCs w:val="24"/>
        </w:rPr>
        <w:t xml:space="preserve">è </w:t>
      </w:r>
      <w:r w:rsidRPr="00D53091">
        <w:rPr>
          <w:sz w:val="24"/>
          <w:szCs w:val="24"/>
        </w:rPr>
        <w:t>quello di avere emesso o annotato una fattura in qualunque modo difforme dalla sottostante realt</w:t>
      </w:r>
      <w:r>
        <w:rPr>
          <w:sz w:val="24"/>
          <w:szCs w:val="24"/>
        </w:rPr>
        <w:t xml:space="preserve">à </w:t>
      </w:r>
      <w:r w:rsidRPr="00D53091">
        <w:rPr>
          <w:sz w:val="24"/>
          <w:szCs w:val="24"/>
        </w:rPr>
        <w:t>economica</w:t>
      </w:r>
      <w:r w:rsidR="00C326E2">
        <w:rPr>
          <w:sz w:val="24"/>
          <w:szCs w:val="24"/>
        </w:rPr>
        <w:t>.</w:t>
      </w:r>
    </w:p>
    <w:p w14:paraId="7192EFD3" w14:textId="550D00E3" w:rsidR="008862F4" w:rsidRDefault="00C326E2" w:rsidP="00C326E2">
      <w:pPr>
        <w:spacing w:line="360" w:lineRule="auto"/>
        <w:contextualSpacing/>
        <w:jc w:val="both"/>
        <w:rPr>
          <w:sz w:val="24"/>
          <w:szCs w:val="24"/>
        </w:rPr>
      </w:pPr>
      <w:proofErr w:type="spellStart"/>
      <w:r>
        <w:rPr>
          <w:sz w:val="24"/>
          <w:szCs w:val="24"/>
        </w:rPr>
        <w:t>S</w:t>
      </w:r>
      <w:r w:rsidR="00D53091" w:rsidRPr="00D53091">
        <w:rPr>
          <w:sz w:val="24"/>
          <w:szCs w:val="24"/>
        </w:rPr>
        <w:t>icch</w:t>
      </w:r>
      <w:r>
        <w:rPr>
          <w:sz w:val="24"/>
          <w:szCs w:val="24"/>
        </w:rPr>
        <w:t>è</w:t>
      </w:r>
      <w:proofErr w:type="spellEnd"/>
      <w:r w:rsidR="00D53091" w:rsidRPr="00D53091">
        <w:rPr>
          <w:sz w:val="24"/>
          <w:szCs w:val="24"/>
        </w:rPr>
        <w:t xml:space="preserve"> non risultano impedite o menomate le possibilit</w:t>
      </w:r>
      <w:r w:rsidR="00D53091">
        <w:rPr>
          <w:sz w:val="24"/>
          <w:szCs w:val="24"/>
        </w:rPr>
        <w:t>à</w:t>
      </w:r>
      <w:r w:rsidR="00D53091" w:rsidRPr="00D53091">
        <w:rPr>
          <w:sz w:val="24"/>
          <w:szCs w:val="24"/>
        </w:rPr>
        <w:t xml:space="preserve"> di difesa quando l'imputato, attraverso l'iter del processo, sia venuto</w:t>
      </w:r>
      <w:r w:rsidR="004D7014">
        <w:rPr>
          <w:sz w:val="24"/>
          <w:szCs w:val="24"/>
        </w:rPr>
        <w:t xml:space="preserve"> </w:t>
      </w:r>
      <w:r w:rsidR="00D53091" w:rsidRPr="00D53091">
        <w:rPr>
          <w:sz w:val="24"/>
          <w:szCs w:val="24"/>
        </w:rPr>
        <w:t xml:space="preserve">a trovarsi nella condizione concreta di difendersi in ordine all'oggetto dell'imputazione, </w:t>
      </w:r>
      <w:r w:rsidR="00D53091">
        <w:rPr>
          <w:sz w:val="24"/>
          <w:szCs w:val="24"/>
        </w:rPr>
        <w:t>perché</w:t>
      </w:r>
      <w:r w:rsidR="00D53091" w:rsidRPr="00D53091">
        <w:rPr>
          <w:sz w:val="24"/>
          <w:szCs w:val="24"/>
        </w:rPr>
        <w:t xml:space="preserve">, in tali casi, tra il fatto descritto e quello ritenuto in sentenza si rinviene un nucleo comune, identificato dalla condotta, </w:t>
      </w:r>
      <w:r w:rsidR="00D53091" w:rsidRPr="00934787">
        <w:rPr>
          <w:b/>
          <w:bCs/>
          <w:sz w:val="24"/>
          <w:szCs w:val="24"/>
        </w:rPr>
        <w:t>e si instaura</w:t>
      </w:r>
      <w:r w:rsidR="004D7014" w:rsidRPr="00934787">
        <w:rPr>
          <w:b/>
          <w:bCs/>
          <w:sz w:val="24"/>
          <w:szCs w:val="24"/>
        </w:rPr>
        <w:t xml:space="preserve">, </w:t>
      </w:r>
      <w:r w:rsidR="00D53091" w:rsidRPr="00934787">
        <w:rPr>
          <w:b/>
          <w:bCs/>
          <w:sz w:val="24"/>
          <w:szCs w:val="24"/>
        </w:rPr>
        <w:t>quindi</w:t>
      </w:r>
      <w:r w:rsidR="004D7014" w:rsidRPr="00934787">
        <w:rPr>
          <w:b/>
          <w:bCs/>
          <w:sz w:val="24"/>
          <w:szCs w:val="24"/>
        </w:rPr>
        <w:t>,</w:t>
      </w:r>
      <w:r w:rsidR="00D53091" w:rsidRPr="00934787">
        <w:rPr>
          <w:b/>
          <w:bCs/>
          <w:sz w:val="24"/>
          <w:szCs w:val="24"/>
        </w:rPr>
        <w:t xml:space="preserve"> un rapporto di continenza tra le fattispecie e non di incompatibilità ed eterogeneità</w:t>
      </w:r>
      <w:r w:rsidR="00D53091" w:rsidRPr="00D53091">
        <w:rPr>
          <w:sz w:val="24"/>
          <w:szCs w:val="24"/>
        </w:rPr>
        <w:t>.</w:t>
      </w:r>
    </w:p>
    <w:p w14:paraId="5E826189" w14:textId="77777777" w:rsidR="00FB2418" w:rsidRPr="00D53091" w:rsidRDefault="00FB2418" w:rsidP="00D53091">
      <w:pPr>
        <w:spacing w:line="360" w:lineRule="auto"/>
        <w:ind w:right="-1"/>
        <w:jc w:val="both"/>
        <w:rPr>
          <w:sz w:val="24"/>
          <w:szCs w:val="24"/>
        </w:rPr>
      </w:pPr>
    </w:p>
    <w:p w14:paraId="0D708CEF" w14:textId="42AC58C2" w:rsidR="00996C11" w:rsidRDefault="00831E78" w:rsidP="00D44BD1">
      <w:pPr>
        <w:pStyle w:val="Paragrafoelenco"/>
        <w:numPr>
          <w:ilvl w:val="0"/>
          <w:numId w:val="13"/>
        </w:numPr>
        <w:spacing w:line="360" w:lineRule="auto"/>
        <w:ind w:left="425" w:hanging="425"/>
        <w:jc w:val="both"/>
        <w:outlineLvl w:val="1"/>
        <w:rPr>
          <w:b/>
          <w:bCs/>
          <w:sz w:val="24"/>
          <w:szCs w:val="24"/>
        </w:rPr>
      </w:pPr>
      <w:bookmarkStart w:id="135" w:name="_Hlk186709571"/>
      <w:bookmarkStart w:id="136" w:name="_Toc186711263"/>
      <w:bookmarkStart w:id="137" w:name="_Toc186717013"/>
      <w:bookmarkStart w:id="138" w:name="_Toc186793169"/>
      <w:bookmarkStart w:id="139" w:name="_Toc186808372"/>
      <w:bookmarkStart w:id="140" w:name="_Toc186993223"/>
      <w:bookmarkStart w:id="141" w:name="_Toc187062390"/>
      <w:r>
        <w:rPr>
          <w:b/>
          <w:bCs/>
          <w:sz w:val="24"/>
          <w:szCs w:val="24"/>
        </w:rPr>
        <w:t xml:space="preserve">CORTE DI </w:t>
      </w:r>
      <w:r w:rsidR="002E140C" w:rsidRPr="002E140C">
        <w:rPr>
          <w:b/>
          <w:bCs/>
          <w:sz w:val="24"/>
          <w:szCs w:val="24"/>
        </w:rPr>
        <w:t xml:space="preserve">CASSAZIONE </w:t>
      </w:r>
      <w:r>
        <w:rPr>
          <w:b/>
          <w:bCs/>
          <w:sz w:val="24"/>
          <w:szCs w:val="24"/>
        </w:rPr>
        <w:t xml:space="preserve">– SEZIONE </w:t>
      </w:r>
      <w:r w:rsidR="002E140C">
        <w:rPr>
          <w:b/>
          <w:bCs/>
          <w:sz w:val="24"/>
          <w:szCs w:val="24"/>
        </w:rPr>
        <w:t xml:space="preserve">TRIBUTARIA – </w:t>
      </w:r>
      <w:bookmarkEnd w:id="135"/>
      <w:r w:rsidR="002E140C">
        <w:rPr>
          <w:b/>
          <w:bCs/>
          <w:sz w:val="24"/>
          <w:szCs w:val="24"/>
        </w:rPr>
        <w:t xml:space="preserve">DISTINZIONE TRA OPERAZIONE OGGETTIVAMENTE E SOGGETTIVAMENTE INESISTENTE </w:t>
      </w:r>
      <w:r w:rsidR="00F11F37">
        <w:rPr>
          <w:b/>
          <w:bCs/>
          <w:sz w:val="24"/>
          <w:szCs w:val="24"/>
        </w:rPr>
        <w:t>– OPERAZIONE SOGGETTIVAMENTE INESISTENTE AI FINI I.V.A.</w:t>
      </w:r>
      <w:bookmarkEnd w:id="136"/>
      <w:bookmarkEnd w:id="137"/>
      <w:bookmarkEnd w:id="138"/>
      <w:bookmarkEnd w:id="139"/>
      <w:bookmarkEnd w:id="140"/>
      <w:bookmarkEnd w:id="141"/>
      <w:r w:rsidR="00F11F37">
        <w:rPr>
          <w:b/>
          <w:bCs/>
          <w:sz w:val="24"/>
          <w:szCs w:val="24"/>
        </w:rPr>
        <w:t xml:space="preserve"> </w:t>
      </w:r>
    </w:p>
    <w:p w14:paraId="6F7E4A44" w14:textId="1D629C13" w:rsidR="00331315" w:rsidRPr="004D7014" w:rsidRDefault="00331315" w:rsidP="001C007B">
      <w:pPr>
        <w:spacing w:line="360" w:lineRule="auto"/>
        <w:contextualSpacing/>
        <w:jc w:val="both"/>
        <w:rPr>
          <w:b/>
          <w:bCs/>
          <w:sz w:val="24"/>
          <w:szCs w:val="24"/>
        </w:rPr>
      </w:pPr>
      <w:r w:rsidRPr="004D7014">
        <w:rPr>
          <w:b/>
          <w:bCs/>
          <w:sz w:val="24"/>
          <w:szCs w:val="24"/>
        </w:rPr>
        <w:t>Contrariamente a quanto stabilito dalla Corte di Cassazione in sede penale, invece, in sede tributaria, la Corte di Cassazione ha stabilito una netta distinzione tra operazione oggettivamente e soggettivamente inesistente</w:t>
      </w:r>
      <w:r w:rsidR="001C007B" w:rsidRPr="004D7014">
        <w:rPr>
          <w:b/>
          <w:bCs/>
          <w:sz w:val="24"/>
          <w:szCs w:val="24"/>
        </w:rPr>
        <w:t>.</w:t>
      </w:r>
    </w:p>
    <w:p w14:paraId="055AB94D" w14:textId="0C9DFBF9" w:rsidR="001C007B" w:rsidRDefault="001C007B" w:rsidP="001C007B">
      <w:pPr>
        <w:spacing w:line="360" w:lineRule="auto"/>
        <w:contextualSpacing/>
        <w:jc w:val="both"/>
        <w:rPr>
          <w:sz w:val="24"/>
          <w:szCs w:val="24"/>
        </w:rPr>
      </w:pPr>
      <w:r>
        <w:rPr>
          <w:sz w:val="24"/>
          <w:szCs w:val="24"/>
        </w:rPr>
        <w:t xml:space="preserve">Infatti, la </w:t>
      </w:r>
      <w:r w:rsidRPr="001C007B">
        <w:rPr>
          <w:b/>
          <w:bCs/>
          <w:sz w:val="24"/>
          <w:szCs w:val="24"/>
        </w:rPr>
        <w:t>Corte di Cassazione – Sesta Sezione Civile –, con l’ordinanza n. 27745/2021</w:t>
      </w:r>
      <w:r>
        <w:rPr>
          <w:b/>
          <w:bCs/>
          <w:sz w:val="24"/>
          <w:szCs w:val="24"/>
        </w:rPr>
        <w:t xml:space="preserve"> </w:t>
      </w:r>
      <w:r>
        <w:rPr>
          <w:sz w:val="24"/>
          <w:szCs w:val="24"/>
        </w:rPr>
        <w:t xml:space="preserve">ha precisato che: </w:t>
      </w:r>
    </w:p>
    <w:p w14:paraId="1ACD50F5" w14:textId="42C3CCDD" w:rsidR="00831E78" w:rsidRPr="00831E78" w:rsidRDefault="00831E78" w:rsidP="00831E78">
      <w:pPr>
        <w:spacing w:line="240" w:lineRule="auto"/>
        <w:ind w:left="567" w:right="849"/>
        <w:contextualSpacing/>
        <w:jc w:val="both"/>
        <w:rPr>
          <w:i/>
          <w:iCs/>
          <w:sz w:val="24"/>
          <w:szCs w:val="24"/>
        </w:rPr>
      </w:pPr>
      <w:r>
        <w:rPr>
          <w:i/>
          <w:iCs/>
          <w:sz w:val="24"/>
          <w:szCs w:val="24"/>
        </w:rPr>
        <w:t>“</w:t>
      </w:r>
      <w:r w:rsidRPr="004D7014">
        <w:rPr>
          <w:b/>
          <w:bCs/>
          <w:i/>
          <w:iCs/>
          <w:sz w:val="24"/>
          <w:szCs w:val="24"/>
        </w:rPr>
        <w:t xml:space="preserve">in tema di IVA, l'Amministrazione finanziaria, se contesta che la fatturazione attenga ad operazioni soggettivamente inesistenti, inserite o meno nell'ambito di una frode carosello, ha l'onere di provare, non solo l'oggettiva </w:t>
      </w:r>
      <w:proofErr w:type="spellStart"/>
      <w:r w:rsidRPr="004D7014">
        <w:rPr>
          <w:b/>
          <w:bCs/>
          <w:i/>
          <w:iCs/>
          <w:sz w:val="24"/>
          <w:szCs w:val="24"/>
        </w:rPr>
        <w:t>fittizieta</w:t>
      </w:r>
      <w:proofErr w:type="spellEnd"/>
      <w:r w:rsidRPr="004D7014">
        <w:rPr>
          <w:b/>
          <w:bCs/>
          <w:i/>
          <w:iCs/>
          <w:sz w:val="24"/>
          <w:szCs w:val="24"/>
        </w:rPr>
        <w:t>' del fornitore, ma anche la consapevolezza del destinatario che l'operazione si inseriva in una evasione dell'imposta</w:t>
      </w:r>
      <w:r w:rsidRPr="00831E78">
        <w:rPr>
          <w:i/>
          <w:iCs/>
          <w:sz w:val="24"/>
          <w:szCs w:val="24"/>
        </w:rPr>
        <w:t xml:space="preserve">, dimostrando, anche in via presuntiva, in base ad elementi oggettivi e specifici, che il contribuente era a conoscenza, o avrebbe dovuto esserlo, usando l'ordinaria diligenza in ragione della </w:t>
      </w:r>
      <w:proofErr w:type="spellStart"/>
      <w:r w:rsidRPr="00831E78">
        <w:rPr>
          <w:i/>
          <w:iCs/>
          <w:sz w:val="24"/>
          <w:szCs w:val="24"/>
        </w:rPr>
        <w:t>qualita'</w:t>
      </w:r>
      <w:proofErr w:type="spellEnd"/>
      <w:r w:rsidRPr="00831E78">
        <w:rPr>
          <w:i/>
          <w:iCs/>
          <w:sz w:val="24"/>
          <w:szCs w:val="24"/>
        </w:rPr>
        <w:t xml:space="preserve"> professionale ricoperta, della sostanziale inesistenza del contraente; ove l'Amministrazione assolva a detto onere istruttorio, grava sul contribuente la prova contraria di avere adoperato, per non essere coinvolto in un'operazione volta ad evadere l'imposta, </w:t>
      </w:r>
      <w:r w:rsidRPr="00D4628A">
        <w:rPr>
          <w:b/>
          <w:i/>
          <w:iCs/>
          <w:sz w:val="24"/>
          <w:szCs w:val="24"/>
        </w:rPr>
        <w:t>la diligenza</w:t>
      </w:r>
      <w:r w:rsidRPr="00831E78">
        <w:rPr>
          <w:i/>
          <w:iCs/>
          <w:sz w:val="24"/>
          <w:szCs w:val="24"/>
        </w:rPr>
        <w:t xml:space="preserve"> </w:t>
      </w:r>
      <w:hyperlink r:id="rId22" w:history="1">
        <w:r w:rsidRPr="00D4628A">
          <w:rPr>
            <w:rStyle w:val="Collegamentoipertestuale"/>
            <w:b/>
            <w:i/>
            <w:iCs/>
            <w:color w:val="auto"/>
            <w:sz w:val="24"/>
            <w:szCs w:val="24"/>
            <w:u w:val="none"/>
          </w:rPr>
          <w:t xml:space="preserve">massima esigibile da un operatore accorto, </w:t>
        </w:r>
        <w:r w:rsidRPr="00831E78">
          <w:rPr>
            <w:rStyle w:val="Collegamentoipertestuale"/>
            <w:i/>
            <w:iCs/>
            <w:color w:val="auto"/>
            <w:sz w:val="24"/>
            <w:szCs w:val="24"/>
            <w:u w:val="none"/>
          </w:rPr>
          <w:t xml:space="preserve">secondo criteri di ragionevolezza e di </w:t>
        </w:r>
        <w:proofErr w:type="spellStart"/>
        <w:r w:rsidRPr="00831E78">
          <w:rPr>
            <w:rStyle w:val="Collegamentoipertestuale"/>
            <w:i/>
            <w:iCs/>
            <w:color w:val="auto"/>
            <w:sz w:val="24"/>
            <w:szCs w:val="24"/>
            <w:u w:val="none"/>
          </w:rPr>
          <w:t>proporzionalita'</w:t>
        </w:r>
        <w:proofErr w:type="spellEnd"/>
        <w:r w:rsidRPr="00831E78">
          <w:rPr>
            <w:rStyle w:val="Collegamentoipertestuale"/>
            <w:i/>
            <w:iCs/>
            <w:color w:val="auto"/>
            <w:sz w:val="24"/>
            <w:szCs w:val="24"/>
            <w:u w:val="none"/>
          </w:rPr>
          <w:t xml:space="preserve"> in rapporto alle circostanze del caso concreto, non assumendo rilievo, a tal fine, ne' la </w:t>
        </w:r>
        <w:proofErr w:type="spellStart"/>
        <w:r w:rsidRPr="00831E78">
          <w:rPr>
            <w:rStyle w:val="Collegamentoipertestuale"/>
            <w:i/>
            <w:iCs/>
            <w:color w:val="auto"/>
            <w:sz w:val="24"/>
            <w:szCs w:val="24"/>
            <w:u w:val="none"/>
          </w:rPr>
          <w:t>regolarita'</w:t>
        </w:r>
        <w:proofErr w:type="spellEnd"/>
        <w:r w:rsidRPr="00831E78">
          <w:rPr>
            <w:rStyle w:val="Collegamentoipertestuale"/>
            <w:i/>
            <w:iCs/>
            <w:color w:val="auto"/>
            <w:sz w:val="24"/>
            <w:szCs w:val="24"/>
            <w:u w:val="none"/>
          </w:rPr>
          <w:t xml:space="preserve"> della </w:t>
        </w:r>
        <w:proofErr w:type="spellStart"/>
        <w:r w:rsidRPr="00831E78">
          <w:rPr>
            <w:rStyle w:val="Collegamentoipertestuale"/>
            <w:i/>
            <w:iCs/>
            <w:color w:val="auto"/>
            <w:sz w:val="24"/>
            <w:szCs w:val="24"/>
            <w:u w:val="none"/>
          </w:rPr>
          <w:t>contabilita'</w:t>
        </w:r>
        <w:proofErr w:type="spellEnd"/>
        <w:r w:rsidRPr="00831E78">
          <w:rPr>
            <w:rStyle w:val="Collegamentoipertestuale"/>
            <w:i/>
            <w:iCs/>
            <w:color w:val="auto"/>
            <w:sz w:val="24"/>
            <w:szCs w:val="24"/>
            <w:u w:val="none"/>
          </w:rPr>
          <w:t xml:space="preserve"> e dei pagamenti, ne' la mancanza di benefici dalla rivendita delle merci o dei servizi (</w:t>
        </w:r>
        <w:r w:rsidRPr="00507D36">
          <w:rPr>
            <w:rStyle w:val="Collegamentoipertestuale"/>
            <w:b/>
            <w:bCs/>
            <w:i/>
            <w:iCs/>
            <w:color w:val="auto"/>
            <w:sz w:val="24"/>
            <w:szCs w:val="24"/>
            <w:u w:val="none"/>
          </w:rPr>
          <w:t>Cass. n. 27566 del 2018</w:t>
        </w:r>
      </w:hyperlink>
      <w:r w:rsidRPr="00831E78">
        <w:rPr>
          <w:i/>
          <w:iCs/>
          <w:sz w:val="24"/>
          <w:szCs w:val="24"/>
        </w:rPr>
        <w:t>);</w:t>
      </w:r>
    </w:p>
    <w:p w14:paraId="3B71729D" w14:textId="0A46C495" w:rsidR="00FB2418" w:rsidRDefault="00831E78" w:rsidP="00FB2418">
      <w:pPr>
        <w:spacing w:line="240" w:lineRule="auto"/>
        <w:ind w:left="567" w:right="849"/>
        <w:contextualSpacing/>
        <w:jc w:val="both"/>
        <w:rPr>
          <w:i/>
          <w:iCs/>
          <w:sz w:val="24"/>
          <w:szCs w:val="24"/>
        </w:rPr>
      </w:pPr>
      <w:r w:rsidRPr="00831E78">
        <w:rPr>
          <w:i/>
          <w:iCs/>
          <w:sz w:val="24"/>
          <w:szCs w:val="24"/>
        </w:rPr>
        <w:t xml:space="preserve">in tema di </w:t>
      </w:r>
      <w:r w:rsidRPr="00C4458A">
        <w:rPr>
          <w:b/>
          <w:i/>
          <w:iCs/>
          <w:sz w:val="24"/>
          <w:szCs w:val="24"/>
        </w:rPr>
        <w:t>detrazione dell'IVA</w:t>
      </w:r>
      <w:r w:rsidRPr="00831E78">
        <w:rPr>
          <w:i/>
          <w:iCs/>
          <w:sz w:val="24"/>
          <w:szCs w:val="24"/>
        </w:rPr>
        <w:t xml:space="preserve"> correlata ad operazioni inesistenti, la prova che il soggetto passivo sapeva o avrebbe dovuto sapere che la cessione dei beni si iscriveva in un'evasione dell'imposta sul valore aggiunto, </w:t>
      </w:r>
      <w:r w:rsidRPr="00507D36">
        <w:rPr>
          <w:b/>
          <w:bCs/>
          <w:i/>
          <w:iCs/>
          <w:sz w:val="24"/>
          <w:szCs w:val="24"/>
        </w:rPr>
        <w:t xml:space="preserve">in linea con la giurisprudenza della </w:t>
      </w:r>
      <w:r w:rsidRPr="00507D36">
        <w:rPr>
          <w:b/>
          <w:bCs/>
          <w:i/>
          <w:iCs/>
          <w:sz w:val="24"/>
          <w:szCs w:val="24"/>
        </w:rPr>
        <w:lastRenderedPageBreak/>
        <w:t>Corte di giustizia (</w:t>
      </w:r>
      <w:hyperlink r:id="rId23" w:history="1">
        <w:r w:rsidRPr="00507D36">
          <w:rPr>
            <w:rStyle w:val="Collegamentoipertestuale"/>
            <w:b/>
            <w:bCs/>
            <w:i/>
            <w:iCs/>
            <w:color w:val="auto"/>
            <w:sz w:val="24"/>
            <w:szCs w:val="24"/>
            <w:u w:val="none"/>
          </w:rPr>
          <w:t>Corte giustizia 22 ottobre 2015, C-277/14</w:t>
        </w:r>
      </w:hyperlink>
      <w:r w:rsidRPr="00831E78">
        <w:rPr>
          <w:i/>
          <w:iCs/>
          <w:sz w:val="24"/>
          <w:szCs w:val="24"/>
        </w:rPr>
        <w:t xml:space="preserve">), </w:t>
      </w:r>
      <w:proofErr w:type="spellStart"/>
      <w:r w:rsidRPr="00831E78">
        <w:rPr>
          <w:i/>
          <w:iCs/>
          <w:sz w:val="24"/>
          <w:szCs w:val="24"/>
        </w:rPr>
        <w:t>puo'</w:t>
      </w:r>
      <w:proofErr w:type="spellEnd"/>
      <w:r w:rsidRPr="00831E78">
        <w:rPr>
          <w:i/>
          <w:iCs/>
          <w:sz w:val="24"/>
          <w:szCs w:val="24"/>
        </w:rPr>
        <w:t xml:space="preserve"> essere fornita dall'Amministrazione anche mediante presunzioni - come espressamente prevede il </w:t>
      </w:r>
      <w:hyperlink r:id="rId24" w:history="1">
        <w:r w:rsidRPr="00831E78">
          <w:rPr>
            <w:rStyle w:val="Collegamentoipertestuale"/>
            <w:i/>
            <w:iCs/>
            <w:color w:val="auto"/>
            <w:sz w:val="24"/>
            <w:szCs w:val="24"/>
            <w:u w:val="none"/>
          </w:rPr>
          <w:t>Decreto del Presidente della Repubblica 26 ottobre 1972, n. 633, articolo 54, comma 2</w:t>
        </w:r>
      </w:hyperlink>
      <w:r w:rsidRPr="00831E78">
        <w:rPr>
          <w:i/>
          <w:iCs/>
          <w:sz w:val="24"/>
          <w:szCs w:val="24"/>
        </w:rPr>
        <w:t xml:space="preserve">, - valorizzando, nel quadro indiziario, quali elementi sintomatici della mancata esecuzione della prestazione dal fatturante, l'assenza della minima dotazione personale e strumentale adeguata alla predetta esecuzione, l'immediatezza dei rapporti (cedente/prestatore fatturante interposto e cessionario/committente), una conclamata </w:t>
      </w:r>
      <w:proofErr w:type="spellStart"/>
      <w:r w:rsidRPr="00831E78">
        <w:rPr>
          <w:i/>
          <w:iCs/>
          <w:sz w:val="24"/>
          <w:szCs w:val="24"/>
        </w:rPr>
        <w:t>inidoneita'</w:t>
      </w:r>
      <w:proofErr w:type="spellEnd"/>
      <w:r w:rsidRPr="00831E78">
        <w:rPr>
          <w:i/>
          <w:iCs/>
          <w:sz w:val="24"/>
          <w:szCs w:val="24"/>
        </w:rPr>
        <w:t xml:space="preserve"> allo svolgimento </w:t>
      </w:r>
      <w:proofErr w:type="spellStart"/>
      <w:r w:rsidRPr="00831E78">
        <w:rPr>
          <w:i/>
          <w:iCs/>
          <w:sz w:val="24"/>
          <w:szCs w:val="24"/>
        </w:rPr>
        <w:t>dell'attivita'</w:t>
      </w:r>
      <w:proofErr w:type="spellEnd"/>
      <w:r w:rsidRPr="00831E78">
        <w:rPr>
          <w:i/>
          <w:iCs/>
          <w:sz w:val="24"/>
          <w:szCs w:val="24"/>
        </w:rPr>
        <w:t xml:space="preserve"> economica e la non corrispondenza tra i cedenti e la </w:t>
      </w:r>
      <w:proofErr w:type="spellStart"/>
      <w:r w:rsidRPr="00831E78">
        <w:rPr>
          <w:i/>
          <w:iCs/>
          <w:sz w:val="24"/>
          <w:szCs w:val="24"/>
        </w:rPr>
        <w:t>societa'</w:t>
      </w:r>
      <w:proofErr w:type="spellEnd"/>
      <w:r w:rsidRPr="00831E78">
        <w:rPr>
          <w:i/>
          <w:iCs/>
          <w:sz w:val="24"/>
          <w:szCs w:val="24"/>
        </w:rPr>
        <w:t xml:space="preserve"> coinvolta nell'operazione (</w:t>
      </w:r>
      <w:r w:rsidRPr="00507D36">
        <w:rPr>
          <w:b/>
          <w:bCs/>
          <w:i/>
          <w:iCs/>
          <w:sz w:val="24"/>
          <w:szCs w:val="24"/>
        </w:rPr>
        <w:t>Cass. n. 5339 del 2020</w:t>
      </w:r>
      <w:r w:rsidRPr="00831E78">
        <w:rPr>
          <w:i/>
          <w:iCs/>
          <w:sz w:val="24"/>
          <w:szCs w:val="24"/>
        </w:rPr>
        <w:t>)</w:t>
      </w:r>
      <w:r w:rsidR="004D7014">
        <w:rPr>
          <w:i/>
          <w:iCs/>
          <w:sz w:val="24"/>
          <w:szCs w:val="24"/>
        </w:rPr>
        <w:t>.</w:t>
      </w:r>
      <w:r>
        <w:rPr>
          <w:i/>
          <w:iCs/>
          <w:sz w:val="24"/>
          <w:szCs w:val="24"/>
        </w:rPr>
        <w:t>”</w:t>
      </w:r>
    </w:p>
    <w:p w14:paraId="393677EF" w14:textId="77777777" w:rsidR="00FB2418" w:rsidRPr="00FB2418" w:rsidRDefault="00FB2418" w:rsidP="00FB2418">
      <w:pPr>
        <w:spacing w:line="240" w:lineRule="auto"/>
        <w:ind w:left="567" w:right="849"/>
        <w:contextualSpacing/>
        <w:jc w:val="both"/>
        <w:rPr>
          <w:i/>
          <w:iCs/>
          <w:sz w:val="24"/>
          <w:szCs w:val="24"/>
        </w:rPr>
      </w:pPr>
    </w:p>
    <w:p w14:paraId="50661C0B" w14:textId="4324A42B" w:rsidR="00831E78" w:rsidRPr="00831E78" w:rsidRDefault="00831E78" w:rsidP="00831E78">
      <w:pPr>
        <w:spacing w:line="360" w:lineRule="auto"/>
        <w:ind w:right="-1"/>
        <w:contextualSpacing/>
        <w:jc w:val="both"/>
        <w:rPr>
          <w:b/>
          <w:bCs/>
          <w:sz w:val="24"/>
          <w:szCs w:val="24"/>
        </w:rPr>
      </w:pPr>
      <w:r w:rsidRPr="00831E78">
        <w:rPr>
          <w:b/>
          <w:bCs/>
          <w:sz w:val="24"/>
          <w:szCs w:val="24"/>
        </w:rPr>
        <w:t xml:space="preserve">I suddetti principi sono stati </w:t>
      </w:r>
      <w:r w:rsidR="00FF0CB9">
        <w:rPr>
          <w:b/>
          <w:bCs/>
          <w:sz w:val="24"/>
          <w:szCs w:val="24"/>
        </w:rPr>
        <w:t xml:space="preserve">sempre </w:t>
      </w:r>
      <w:r w:rsidRPr="00831E78">
        <w:rPr>
          <w:b/>
          <w:bCs/>
          <w:sz w:val="24"/>
          <w:szCs w:val="24"/>
        </w:rPr>
        <w:t>ribaditi dalla Corte di Cassazione – Sezione Tributaria – con le seguenti ordinanze:</w:t>
      </w:r>
    </w:p>
    <w:p w14:paraId="29259C73" w14:textId="228A3A20" w:rsidR="00865730" w:rsidRDefault="00865730" w:rsidP="00831E78">
      <w:pPr>
        <w:pStyle w:val="Paragrafoelenco"/>
        <w:numPr>
          <w:ilvl w:val="0"/>
          <w:numId w:val="8"/>
        </w:numPr>
        <w:spacing w:line="360" w:lineRule="auto"/>
        <w:ind w:right="-1"/>
        <w:jc w:val="both"/>
        <w:rPr>
          <w:b/>
          <w:bCs/>
          <w:sz w:val="24"/>
          <w:szCs w:val="24"/>
        </w:rPr>
      </w:pPr>
      <w:r>
        <w:rPr>
          <w:b/>
          <w:bCs/>
          <w:sz w:val="24"/>
          <w:szCs w:val="24"/>
        </w:rPr>
        <w:t>n. 28628/2021;</w:t>
      </w:r>
    </w:p>
    <w:p w14:paraId="51810DF2" w14:textId="700FCC82" w:rsidR="00831E78" w:rsidRDefault="00831E78" w:rsidP="00831E78">
      <w:pPr>
        <w:pStyle w:val="Paragrafoelenco"/>
        <w:numPr>
          <w:ilvl w:val="0"/>
          <w:numId w:val="8"/>
        </w:numPr>
        <w:spacing w:line="360" w:lineRule="auto"/>
        <w:ind w:right="-1"/>
        <w:jc w:val="both"/>
        <w:rPr>
          <w:b/>
          <w:bCs/>
          <w:sz w:val="24"/>
          <w:szCs w:val="24"/>
        </w:rPr>
      </w:pPr>
      <w:r w:rsidRPr="00831E78">
        <w:rPr>
          <w:b/>
          <w:bCs/>
          <w:sz w:val="24"/>
          <w:szCs w:val="24"/>
        </w:rPr>
        <w:t>n. 5059/2022;</w:t>
      </w:r>
    </w:p>
    <w:p w14:paraId="7C6B4F6C" w14:textId="46250A9A" w:rsidR="00865730" w:rsidRDefault="00865730" w:rsidP="00831E78">
      <w:pPr>
        <w:pStyle w:val="Paragrafoelenco"/>
        <w:numPr>
          <w:ilvl w:val="0"/>
          <w:numId w:val="8"/>
        </w:numPr>
        <w:spacing w:line="360" w:lineRule="auto"/>
        <w:ind w:right="-1"/>
        <w:jc w:val="both"/>
        <w:rPr>
          <w:b/>
          <w:bCs/>
          <w:sz w:val="24"/>
          <w:szCs w:val="24"/>
        </w:rPr>
      </w:pPr>
      <w:r>
        <w:rPr>
          <w:b/>
          <w:bCs/>
          <w:sz w:val="24"/>
          <w:szCs w:val="24"/>
        </w:rPr>
        <w:t>n. 4563</w:t>
      </w:r>
      <w:r w:rsidR="005C4C67">
        <w:rPr>
          <w:b/>
          <w:bCs/>
          <w:sz w:val="24"/>
          <w:szCs w:val="24"/>
        </w:rPr>
        <w:t>/</w:t>
      </w:r>
      <w:r>
        <w:rPr>
          <w:b/>
          <w:bCs/>
          <w:sz w:val="24"/>
          <w:szCs w:val="24"/>
        </w:rPr>
        <w:t>2023;</w:t>
      </w:r>
    </w:p>
    <w:p w14:paraId="37AA7494" w14:textId="78D2EB2E" w:rsidR="00865730" w:rsidRPr="00831E78" w:rsidRDefault="00865730" w:rsidP="00831E78">
      <w:pPr>
        <w:pStyle w:val="Paragrafoelenco"/>
        <w:numPr>
          <w:ilvl w:val="0"/>
          <w:numId w:val="8"/>
        </w:numPr>
        <w:spacing w:line="360" w:lineRule="auto"/>
        <w:ind w:right="-1"/>
        <w:jc w:val="both"/>
        <w:rPr>
          <w:b/>
          <w:bCs/>
          <w:sz w:val="24"/>
          <w:szCs w:val="24"/>
        </w:rPr>
      </w:pPr>
      <w:r>
        <w:rPr>
          <w:b/>
          <w:bCs/>
          <w:sz w:val="24"/>
          <w:szCs w:val="24"/>
        </w:rPr>
        <w:t>n. 14656/2023;</w:t>
      </w:r>
    </w:p>
    <w:p w14:paraId="7A1CF84F" w14:textId="7ADBCC1B" w:rsidR="00831E78" w:rsidRPr="00831E78" w:rsidRDefault="00831E78" w:rsidP="00831E78">
      <w:pPr>
        <w:pStyle w:val="Paragrafoelenco"/>
        <w:numPr>
          <w:ilvl w:val="0"/>
          <w:numId w:val="8"/>
        </w:numPr>
        <w:spacing w:line="360" w:lineRule="auto"/>
        <w:ind w:right="-1"/>
        <w:jc w:val="both"/>
        <w:rPr>
          <w:b/>
          <w:bCs/>
          <w:sz w:val="24"/>
          <w:szCs w:val="24"/>
        </w:rPr>
      </w:pPr>
      <w:r w:rsidRPr="00831E78">
        <w:rPr>
          <w:b/>
          <w:bCs/>
          <w:sz w:val="24"/>
          <w:szCs w:val="24"/>
        </w:rPr>
        <w:t xml:space="preserve">n. 14102/2024, che peraltro ha enunciato il seguente </w:t>
      </w:r>
      <w:r w:rsidR="004D7014">
        <w:rPr>
          <w:b/>
          <w:bCs/>
          <w:sz w:val="24"/>
          <w:szCs w:val="24"/>
        </w:rPr>
        <w:t xml:space="preserve">importante </w:t>
      </w:r>
      <w:r w:rsidR="00FF0CB9">
        <w:rPr>
          <w:b/>
          <w:bCs/>
          <w:sz w:val="24"/>
          <w:szCs w:val="24"/>
        </w:rPr>
        <w:t xml:space="preserve">e condivisibile </w:t>
      </w:r>
      <w:r w:rsidRPr="00831E78">
        <w:rPr>
          <w:b/>
          <w:bCs/>
          <w:sz w:val="24"/>
          <w:szCs w:val="24"/>
        </w:rPr>
        <w:t>principio di diritto:</w:t>
      </w:r>
    </w:p>
    <w:p w14:paraId="315AB155" w14:textId="4D2F97BD" w:rsidR="00831E78" w:rsidRPr="00CF44B6" w:rsidRDefault="00831E78" w:rsidP="00C84044">
      <w:pPr>
        <w:pStyle w:val="Paragrafoelenco"/>
        <w:spacing w:line="240" w:lineRule="auto"/>
        <w:ind w:left="1146" w:right="849"/>
        <w:jc w:val="both"/>
        <w:rPr>
          <w:b/>
          <w:bCs/>
          <w:i/>
          <w:iCs/>
          <w:sz w:val="24"/>
          <w:szCs w:val="24"/>
        </w:rPr>
      </w:pPr>
      <w:r w:rsidRPr="00CF44B6">
        <w:rPr>
          <w:b/>
          <w:bCs/>
          <w:i/>
          <w:iCs/>
          <w:sz w:val="24"/>
          <w:szCs w:val="24"/>
        </w:rPr>
        <w:t>"</w:t>
      </w:r>
      <w:r w:rsidR="004D7014">
        <w:rPr>
          <w:b/>
          <w:bCs/>
          <w:i/>
          <w:iCs/>
          <w:sz w:val="24"/>
          <w:szCs w:val="24"/>
        </w:rPr>
        <w:t>A</w:t>
      </w:r>
      <w:r w:rsidRPr="00CF44B6">
        <w:rPr>
          <w:b/>
          <w:bCs/>
          <w:i/>
          <w:iCs/>
          <w:sz w:val="24"/>
          <w:szCs w:val="24"/>
        </w:rPr>
        <w:t>i fini dell'assolvimento dell'onere della prova della conoscenza o conoscibilità, secondo la massima diligenza esigibile da un accorto operatore professionale, dell'esistenza di una frode IVA consumata a monte della catena produttiva o distributiva, le cautele che si richiede che il cessionario sia tenuto ragionevolmente ad adottare, perché si escluda il suo coinvolgimento, anche solo per colpevole ignoranza, nella frode commessa a monte, non possono attingere a verifiche complesse e approfondite, analoghe a quelle che l'amministrazione finanziaria avrebbe i mezzi per effettuare</w:t>
      </w:r>
      <w:r w:rsidR="00C4458A">
        <w:rPr>
          <w:b/>
          <w:bCs/>
          <w:i/>
          <w:iCs/>
          <w:sz w:val="24"/>
          <w:szCs w:val="24"/>
        </w:rPr>
        <w:t>.</w:t>
      </w:r>
      <w:r w:rsidRPr="00CF44B6">
        <w:rPr>
          <w:b/>
          <w:bCs/>
          <w:i/>
          <w:iCs/>
          <w:sz w:val="24"/>
          <w:szCs w:val="24"/>
        </w:rPr>
        <w:t>"</w:t>
      </w:r>
    </w:p>
    <w:p w14:paraId="27F4DC7B" w14:textId="77777777" w:rsidR="00831E78" w:rsidRDefault="00831E78" w:rsidP="00831E78">
      <w:pPr>
        <w:spacing w:line="240" w:lineRule="auto"/>
        <w:ind w:right="-1"/>
        <w:jc w:val="both"/>
        <w:rPr>
          <w:sz w:val="24"/>
          <w:szCs w:val="24"/>
        </w:rPr>
      </w:pPr>
    </w:p>
    <w:p w14:paraId="276037AF" w14:textId="62856D8C" w:rsidR="00831E78" w:rsidRDefault="00831E78" w:rsidP="00D44BD1">
      <w:pPr>
        <w:pStyle w:val="Paragrafoelenco"/>
        <w:numPr>
          <w:ilvl w:val="0"/>
          <w:numId w:val="13"/>
        </w:numPr>
        <w:spacing w:line="360" w:lineRule="auto"/>
        <w:ind w:left="425" w:hanging="425"/>
        <w:jc w:val="both"/>
        <w:outlineLvl w:val="1"/>
        <w:rPr>
          <w:b/>
          <w:bCs/>
          <w:sz w:val="24"/>
          <w:szCs w:val="24"/>
        </w:rPr>
      </w:pPr>
      <w:bookmarkStart w:id="142" w:name="_Toc186711264"/>
      <w:bookmarkStart w:id="143" w:name="_Toc186717014"/>
      <w:bookmarkStart w:id="144" w:name="_Toc186793170"/>
      <w:bookmarkStart w:id="145" w:name="_Toc186808373"/>
      <w:bookmarkStart w:id="146" w:name="_Toc186993224"/>
      <w:bookmarkStart w:id="147" w:name="_Toc187062391"/>
      <w:r w:rsidRPr="00831E78">
        <w:rPr>
          <w:b/>
          <w:bCs/>
          <w:sz w:val="24"/>
          <w:szCs w:val="24"/>
        </w:rPr>
        <w:t xml:space="preserve">CORTE DI CASSAZIONE </w:t>
      </w:r>
      <w:r>
        <w:rPr>
          <w:b/>
          <w:bCs/>
          <w:sz w:val="24"/>
          <w:szCs w:val="24"/>
        </w:rPr>
        <w:t>– SEZIONE QUINTA CIVILE (TRIBUTARIA) – OPERAZIONE SOGGETTIVAMENTE INESISTENTE AI FINI DELLE IMPOSTE DIRETTE</w:t>
      </w:r>
      <w:bookmarkEnd w:id="142"/>
      <w:bookmarkEnd w:id="143"/>
      <w:bookmarkEnd w:id="144"/>
      <w:bookmarkEnd w:id="145"/>
      <w:bookmarkEnd w:id="146"/>
      <w:bookmarkEnd w:id="147"/>
    </w:p>
    <w:p w14:paraId="6FCA52EC" w14:textId="5239B4E6" w:rsidR="00F11F37" w:rsidRPr="004D7014" w:rsidRDefault="00CF44B6" w:rsidP="00F11F37">
      <w:pPr>
        <w:spacing w:line="360" w:lineRule="auto"/>
        <w:ind w:right="-1"/>
        <w:jc w:val="both"/>
        <w:rPr>
          <w:b/>
          <w:bCs/>
          <w:sz w:val="24"/>
          <w:szCs w:val="24"/>
        </w:rPr>
      </w:pPr>
      <w:r w:rsidRPr="004D7014">
        <w:rPr>
          <w:b/>
          <w:bCs/>
          <w:sz w:val="24"/>
          <w:szCs w:val="24"/>
        </w:rPr>
        <w:t xml:space="preserve">Nell’ambito dell’operazione soggettivamente inesistente, sia la normativa </w:t>
      </w:r>
      <w:r w:rsidR="004D7014">
        <w:rPr>
          <w:b/>
          <w:bCs/>
          <w:sz w:val="24"/>
          <w:szCs w:val="24"/>
        </w:rPr>
        <w:t xml:space="preserve">fiscale </w:t>
      </w:r>
      <w:r w:rsidRPr="004D7014">
        <w:rPr>
          <w:b/>
          <w:bCs/>
          <w:sz w:val="24"/>
          <w:szCs w:val="24"/>
        </w:rPr>
        <w:t xml:space="preserve">che la giurisprudenza della Corte di Cassazione </w:t>
      </w:r>
      <w:r w:rsidR="004D7014">
        <w:rPr>
          <w:b/>
          <w:bCs/>
          <w:sz w:val="24"/>
          <w:szCs w:val="24"/>
        </w:rPr>
        <w:t xml:space="preserve">– Sezione Tributaria – </w:t>
      </w:r>
      <w:r w:rsidRPr="004D7014">
        <w:rPr>
          <w:b/>
          <w:bCs/>
          <w:sz w:val="24"/>
          <w:szCs w:val="24"/>
        </w:rPr>
        <w:t>hanno stabilito</w:t>
      </w:r>
      <w:r w:rsidR="004D7014">
        <w:rPr>
          <w:b/>
          <w:bCs/>
          <w:sz w:val="24"/>
          <w:szCs w:val="24"/>
        </w:rPr>
        <w:t xml:space="preserve">, in particolare, </w:t>
      </w:r>
      <w:r w:rsidRPr="004D7014">
        <w:rPr>
          <w:b/>
          <w:bCs/>
          <w:sz w:val="24"/>
          <w:szCs w:val="24"/>
        </w:rPr>
        <w:t xml:space="preserve"> ai fini delle</w:t>
      </w:r>
      <w:r w:rsidR="004D7014">
        <w:rPr>
          <w:b/>
          <w:bCs/>
          <w:sz w:val="24"/>
          <w:szCs w:val="24"/>
        </w:rPr>
        <w:t xml:space="preserve"> sole</w:t>
      </w:r>
      <w:r w:rsidRPr="004D7014">
        <w:rPr>
          <w:b/>
          <w:bCs/>
          <w:sz w:val="24"/>
          <w:szCs w:val="24"/>
        </w:rPr>
        <w:t xml:space="preserve"> imposte dirette</w:t>
      </w:r>
      <w:r w:rsidR="004D7014">
        <w:rPr>
          <w:b/>
          <w:bCs/>
          <w:sz w:val="24"/>
          <w:szCs w:val="24"/>
        </w:rPr>
        <w:t xml:space="preserve">, </w:t>
      </w:r>
      <w:r w:rsidRPr="004D7014">
        <w:rPr>
          <w:b/>
          <w:bCs/>
          <w:sz w:val="24"/>
          <w:szCs w:val="24"/>
        </w:rPr>
        <w:t>quanto segue, come ribadito dalla Corte di Cassazione – Sezione Quinta Civile – con l’ordinanza n. 25474/2022:</w:t>
      </w:r>
    </w:p>
    <w:p w14:paraId="7C8A6594" w14:textId="77777777" w:rsidR="00CF44B6" w:rsidRPr="00CF44B6" w:rsidRDefault="00CF44B6" w:rsidP="00CF44B6">
      <w:pPr>
        <w:spacing w:line="240" w:lineRule="auto"/>
        <w:ind w:left="567" w:right="849"/>
        <w:contextualSpacing/>
        <w:jc w:val="both"/>
        <w:rPr>
          <w:i/>
          <w:iCs/>
          <w:sz w:val="24"/>
          <w:szCs w:val="24"/>
        </w:rPr>
      </w:pPr>
      <w:r w:rsidRPr="00CF44B6">
        <w:rPr>
          <w:i/>
          <w:iCs/>
          <w:sz w:val="24"/>
          <w:szCs w:val="24"/>
        </w:rPr>
        <w:t xml:space="preserve">“Nel tralasciare di operare una distinzione tra gli effetti della condotta del contribuente in funzione della </w:t>
      </w:r>
      <w:proofErr w:type="spellStart"/>
      <w:r w:rsidRPr="00CF44B6">
        <w:rPr>
          <w:i/>
          <w:iCs/>
          <w:sz w:val="24"/>
          <w:szCs w:val="24"/>
        </w:rPr>
        <w:t>detraibilita'</w:t>
      </w:r>
      <w:proofErr w:type="spellEnd"/>
      <w:r w:rsidRPr="00CF44B6">
        <w:rPr>
          <w:i/>
          <w:iCs/>
          <w:sz w:val="24"/>
          <w:szCs w:val="24"/>
        </w:rPr>
        <w:t xml:space="preserve"> dell'Iva, da un lato, e delle </w:t>
      </w:r>
      <w:proofErr w:type="spellStart"/>
      <w:r w:rsidRPr="00CF44B6">
        <w:rPr>
          <w:i/>
          <w:iCs/>
          <w:sz w:val="24"/>
          <w:szCs w:val="24"/>
        </w:rPr>
        <w:t>deducibilita'</w:t>
      </w:r>
      <w:proofErr w:type="spellEnd"/>
      <w:r w:rsidRPr="00CF44B6">
        <w:rPr>
          <w:i/>
          <w:iCs/>
          <w:sz w:val="24"/>
          <w:szCs w:val="24"/>
        </w:rPr>
        <w:t xml:space="preserve"> dei costi sostenuti (e fatturati), dall'altro, il collegio regionale si </w:t>
      </w:r>
      <w:proofErr w:type="spellStart"/>
      <w:r w:rsidRPr="00CF44B6">
        <w:rPr>
          <w:i/>
          <w:iCs/>
          <w:sz w:val="24"/>
          <w:szCs w:val="24"/>
        </w:rPr>
        <w:t>e'</w:t>
      </w:r>
      <w:proofErr w:type="spellEnd"/>
      <w:r w:rsidRPr="00CF44B6">
        <w:rPr>
          <w:i/>
          <w:iCs/>
          <w:sz w:val="24"/>
          <w:szCs w:val="24"/>
        </w:rPr>
        <w:t xml:space="preserve"> posto in contrasto con il condivisibile indirizzo di questa Corte a tenore del quale "</w:t>
      </w:r>
      <w:r w:rsidRPr="004D7014">
        <w:rPr>
          <w:b/>
          <w:bCs/>
          <w:i/>
          <w:iCs/>
          <w:sz w:val="24"/>
          <w:szCs w:val="24"/>
        </w:rPr>
        <w:t xml:space="preserve">In tema di imposte sui redditi, a norma della L. n. 537 del 1993 articolo 14, comma 4 bis, nella formulazione introdotta con il Decreto Legge n. 16 del 2012 articolo 8, comma 1, </w:t>
      </w:r>
      <w:proofErr w:type="spellStart"/>
      <w:r w:rsidRPr="004D7014">
        <w:rPr>
          <w:b/>
          <w:bCs/>
          <w:i/>
          <w:iCs/>
          <w:sz w:val="24"/>
          <w:szCs w:val="24"/>
        </w:rPr>
        <w:t>conv</w:t>
      </w:r>
      <w:proofErr w:type="spellEnd"/>
      <w:r w:rsidRPr="004D7014">
        <w:rPr>
          <w:b/>
          <w:bCs/>
          <w:i/>
          <w:iCs/>
          <w:sz w:val="24"/>
          <w:szCs w:val="24"/>
        </w:rPr>
        <w:t xml:space="preserve">. dalla L. n. </w:t>
      </w:r>
      <w:r w:rsidRPr="004D7014">
        <w:rPr>
          <w:b/>
          <w:bCs/>
          <w:i/>
          <w:iCs/>
          <w:sz w:val="24"/>
          <w:szCs w:val="24"/>
        </w:rPr>
        <w:lastRenderedPageBreak/>
        <w:t xml:space="preserve">44 del 2012, l'acquirente dei beni </w:t>
      </w:r>
      <w:proofErr w:type="spellStart"/>
      <w:r w:rsidRPr="004D7014">
        <w:rPr>
          <w:b/>
          <w:bCs/>
          <w:i/>
          <w:iCs/>
          <w:sz w:val="24"/>
          <w:szCs w:val="24"/>
        </w:rPr>
        <w:t>puo'</w:t>
      </w:r>
      <w:proofErr w:type="spellEnd"/>
      <w:r w:rsidRPr="004D7014">
        <w:rPr>
          <w:b/>
          <w:bCs/>
          <w:i/>
          <w:iCs/>
          <w:sz w:val="24"/>
          <w:szCs w:val="24"/>
        </w:rPr>
        <w:t xml:space="preserve"> dedurre i costi relativi ad operazioni soggettivamente inesistenti, non utilizzati direttamente per commettere il reato, anche per l'ipotesi in cui sia consapevole del carattere fraudolento delle operazioni, salvo che si tratti di costi che, a norma del Testo Unico delle imposte sui redditi approvato con Decreto del Presidente della Repubblica n. 917 del 1986, siano in contrasto con i principi di </w:t>
      </w:r>
      <w:proofErr w:type="spellStart"/>
      <w:r w:rsidRPr="004D7014">
        <w:rPr>
          <w:b/>
          <w:bCs/>
          <w:i/>
          <w:iCs/>
          <w:sz w:val="24"/>
          <w:szCs w:val="24"/>
        </w:rPr>
        <w:t>effettivita'</w:t>
      </w:r>
      <w:proofErr w:type="spellEnd"/>
      <w:r w:rsidRPr="004D7014">
        <w:rPr>
          <w:b/>
          <w:bCs/>
          <w:i/>
          <w:iCs/>
          <w:sz w:val="24"/>
          <w:szCs w:val="24"/>
        </w:rPr>
        <w:t xml:space="preserve">, inerenza, competenza, certezza, determinatezza o </w:t>
      </w:r>
      <w:proofErr w:type="spellStart"/>
      <w:r w:rsidRPr="004D7014">
        <w:rPr>
          <w:b/>
          <w:bCs/>
          <w:i/>
          <w:iCs/>
          <w:sz w:val="24"/>
          <w:szCs w:val="24"/>
        </w:rPr>
        <w:t>determinabilita'</w:t>
      </w:r>
      <w:proofErr w:type="spellEnd"/>
      <w:r w:rsidRPr="004D7014">
        <w:rPr>
          <w:b/>
          <w:bCs/>
          <w:i/>
          <w:iCs/>
          <w:sz w:val="24"/>
          <w:szCs w:val="24"/>
        </w:rPr>
        <w:t>" (Cass. n. 11020 del 2022; Cass. n. 8480 del 2022; Cass. n. 25249 del 2016; Cass. 24426 del 2013).</w:t>
      </w:r>
    </w:p>
    <w:p w14:paraId="017043BD" w14:textId="43F933F9" w:rsidR="00CF44B6" w:rsidRPr="00CF44B6" w:rsidRDefault="00CF44B6" w:rsidP="00CF44B6">
      <w:pPr>
        <w:spacing w:line="240" w:lineRule="auto"/>
        <w:ind w:left="567" w:right="849"/>
        <w:contextualSpacing/>
        <w:jc w:val="both"/>
        <w:rPr>
          <w:i/>
          <w:iCs/>
          <w:sz w:val="24"/>
          <w:szCs w:val="24"/>
        </w:rPr>
      </w:pPr>
      <w:r w:rsidRPr="00CF44B6">
        <w:rPr>
          <w:i/>
          <w:iCs/>
          <w:sz w:val="24"/>
          <w:szCs w:val="24"/>
        </w:rPr>
        <w:t>Ha soggiunto questa Corte che "</w:t>
      </w:r>
      <w:r w:rsidRPr="0011142F">
        <w:rPr>
          <w:b/>
          <w:i/>
          <w:iCs/>
          <w:sz w:val="24"/>
          <w:szCs w:val="24"/>
        </w:rPr>
        <w:t>In tema di imposte sui redditi</w:t>
      </w:r>
      <w:r w:rsidRPr="00CF44B6">
        <w:rPr>
          <w:i/>
          <w:iCs/>
          <w:sz w:val="24"/>
          <w:szCs w:val="24"/>
        </w:rPr>
        <w:t>, a norma della L. n. 537 del 1993 articolo 14, comma 4-bis, nella formulazione introdotta dal Decreto Legge n. 16 del 2012 articolo 8, comma 1, (</w:t>
      </w:r>
      <w:proofErr w:type="spellStart"/>
      <w:r w:rsidRPr="00CF44B6">
        <w:rPr>
          <w:i/>
          <w:iCs/>
          <w:sz w:val="24"/>
          <w:szCs w:val="24"/>
        </w:rPr>
        <w:t>conv</w:t>
      </w:r>
      <w:proofErr w:type="spellEnd"/>
      <w:r w:rsidRPr="00CF44B6">
        <w:rPr>
          <w:i/>
          <w:iCs/>
          <w:sz w:val="24"/>
          <w:szCs w:val="24"/>
        </w:rPr>
        <w:t xml:space="preserve">. in L. n. 44 del 2012), </w:t>
      </w:r>
      <w:proofErr w:type="spellStart"/>
      <w:r w:rsidRPr="00FF0CB9">
        <w:rPr>
          <w:b/>
          <w:i/>
          <w:iCs/>
          <w:sz w:val="24"/>
          <w:szCs w:val="24"/>
        </w:rPr>
        <w:t>poiche</w:t>
      </w:r>
      <w:proofErr w:type="spellEnd"/>
      <w:r w:rsidRPr="00FF0CB9">
        <w:rPr>
          <w:b/>
          <w:i/>
          <w:iCs/>
          <w:sz w:val="24"/>
          <w:szCs w:val="24"/>
        </w:rPr>
        <w:t xml:space="preserve">' nel caso di operazioni soggettivamente inesistenti i beni acquistati non sono stati utilizzati direttamente "al fine di commettere il reato, </w:t>
      </w:r>
      <w:proofErr w:type="spellStart"/>
      <w:r w:rsidRPr="00FF0CB9">
        <w:rPr>
          <w:b/>
          <w:i/>
          <w:iCs/>
          <w:sz w:val="24"/>
          <w:szCs w:val="24"/>
        </w:rPr>
        <w:t>bensi'</w:t>
      </w:r>
      <w:proofErr w:type="spellEnd"/>
      <w:r w:rsidRPr="00FF0CB9">
        <w:rPr>
          <w:b/>
          <w:i/>
          <w:iCs/>
          <w:sz w:val="24"/>
          <w:szCs w:val="24"/>
        </w:rPr>
        <w:t xml:space="preserve"> per essere commercializzati, non </w:t>
      </w:r>
      <w:proofErr w:type="spellStart"/>
      <w:r w:rsidRPr="00FF0CB9">
        <w:rPr>
          <w:b/>
          <w:i/>
          <w:iCs/>
          <w:sz w:val="24"/>
          <w:szCs w:val="24"/>
        </w:rPr>
        <w:t>e'</w:t>
      </w:r>
      <w:proofErr w:type="spellEnd"/>
      <w:r w:rsidRPr="00FF0CB9">
        <w:rPr>
          <w:b/>
          <w:i/>
          <w:iCs/>
          <w:sz w:val="24"/>
          <w:szCs w:val="24"/>
        </w:rPr>
        <w:t xml:space="preserve"> sufficiente il coinvolgimento anche consapevole, dell'acquirente in operazioni fatturate da un soggetto diverso dall'effettivo venditore per escludere la </w:t>
      </w:r>
      <w:proofErr w:type="spellStart"/>
      <w:r w:rsidRPr="00FF0CB9">
        <w:rPr>
          <w:b/>
          <w:i/>
          <w:iCs/>
          <w:sz w:val="24"/>
          <w:szCs w:val="24"/>
        </w:rPr>
        <w:t>deducibilita'</w:t>
      </w:r>
      <w:proofErr w:type="spellEnd"/>
      <w:r w:rsidRPr="00FF0CB9">
        <w:rPr>
          <w:b/>
          <w:i/>
          <w:iCs/>
          <w:sz w:val="24"/>
          <w:szCs w:val="24"/>
        </w:rPr>
        <w:t>, ai fini delle imposte dirette, dei costi relativi a siffatte operazioni anche ove ricorrano i presupposti di cui al Decreto del Presidente della Repubblica n. 917 del 1986 articolo 109"</w:t>
      </w:r>
      <w:r w:rsidRPr="00CF44B6">
        <w:rPr>
          <w:i/>
          <w:iCs/>
          <w:sz w:val="24"/>
          <w:szCs w:val="24"/>
        </w:rPr>
        <w:t xml:space="preserve"> (</w:t>
      </w:r>
      <w:r w:rsidRPr="00507D36">
        <w:rPr>
          <w:b/>
          <w:bCs/>
          <w:i/>
          <w:iCs/>
          <w:sz w:val="24"/>
          <w:szCs w:val="24"/>
        </w:rPr>
        <w:t>Cass. n. 27566 del 2018</w:t>
      </w:r>
      <w:r w:rsidRPr="00CF44B6">
        <w:rPr>
          <w:i/>
          <w:iCs/>
          <w:sz w:val="24"/>
          <w:szCs w:val="24"/>
        </w:rPr>
        <w:t>).</w:t>
      </w:r>
      <w:r>
        <w:rPr>
          <w:i/>
          <w:iCs/>
          <w:sz w:val="24"/>
          <w:szCs w:val="24"/>
        </w:rPr>
        <w:t>”</w:t>
      </w:r>
    </w:p>
    <w:p w14:paraId="008B9E8B" w14:textId="77777777" w:rsidR="00FB2418" w:rsidRDefault="00FB2418" w:rsidP="00404015">
      <w:pPr>
        <w:spacing w:line="360" w:lineRule="auto"/>
        <w:ind w:right="-1"/>
        <w:jc w:val="both"/>
        <w:rPr>
          <w:i/>
          <w:iCs/>
          <w:sz w:val="24"/>
          <w:szCs w:val="24"/>
        </w:rPr>
      </w:pPr>
    </w:p>
    <w:p w14:paraId="10F564F9" w14:textId="24849DE2" w:rsidR="00404015" w:rsidRDefault="00404015" w:rsidP="00D44BD1">
      <w:pPr>
        <w:pStyle w:val="Paragrafoelenco"/>
        <w:numPr>
          <w:ilvl w:val="0"/>
          <w:numId w:val="13"/>
        </w:numPr>
        <w:spacing w:line="360" w:lineRule="auto"/>
        <w:ind w:left="425" w:hanging="425"/>
        <w:jc w:val="both"/>
        <w:outlineLvl w:val="1"/>
        <w:rPr>
          <w:b/>
          <w:bCs/>
          <w:sz w:val="24"/>
          <w:szCs w:val="24"/>
        </w:rPr>
      </w:pPr>
      <w:bookmarkStart w:id="148" w:name="_Toc186711265"/>
      <w:bookmarkStart w:id="149" w:name="_Toc186717015"/>
      <w:bookmarkStart w:id="150" w:name="_Toc186793171"/>
      <w:bookmarkStart w:id="151" w:name="_Toc186808374"/>
      <w:bookmarkStart w:id="152" w:name="_Toc186993225"/>
      <w:bookmarkStart w:id="153" w:name="_Toc187062392"/>
      <w:r w:rsidRPr="00404015">
        <w:rPr>
          <w:b/>
          <w:bCs/>
          <w:sz w:val="24"/>
          <w:szCs w:val="24"/>
        </w:rPr>
        <w:t xml:space="preserve">CREDITI </w:t>
      </w:r>
      <w:r w:rsidR="00457AA4">
        <w:rPr>
          <w:b/>
          <w:bCs/>
          <w:sz w:val="24"/>
          <w:szCs w:val="24"/>
        </w:rPr>
        <w:t xml:space="preserve">D’IMPOSTA </w:t>
      </w:r>
      <w:r w:rsidRPr="00404015">
        <w:rPr>
          <w:b/>
          <w:bCs/>
          <w:sz w:val="24"/>
          <w:szCs w:val="24"/>
        </w:rPr>
        <w:t xml:space="preserve">INESISTENTI E CREDITI </w:t>
      </w:r>
      <w:r w:rsidR="00216E54">
        <w:rPr>
          <w:b/>
          <w:bCs/>
          <w:sz w:val="24"/>
          <w:szCs w:val="24"/>
        </w:rPr>
        <w:t xml:space="preserve">D’IMPOSTA </w:t>
      </w:r>
      <w:r w:rsidRPr="00404015">
        <w:rPr>
          <w:b/>
          <w:bCs/>
          <w:sz w:val="24"/>
          <w:szCs w:val="24"/>
        </w:rPr>
        <w:t>NON SPETTANTI</w:t>
      </w:r>
      <w:bookmarkEnd w:id="148"/>
      <w:bookmarkEnd w:id="149"/>
      <w:bookmarkEnd w:id="150"/>
      <w:bookmarkEnd w:id="151"/>
      <w:bookmarkEnd w:id="152"/>
      <w:bookmarkEnd w:id="153"/>
    </w:p>
    <w:p w14:paraId="494C784C" w14:textId="77777777" w:rsidR="00F863B7" w:rsidRDefault="00F863B7" w:rsidP="00F863B7">
      <w:pPr>
        <w:pStyle w:val="Paragrafoelenco"/>
        <w:spacing w:line="360" w:lineRule="auto"/>
        <w:ind w:left="425"/>
        <w:jc w:val="both"/>
        <w:outlineLvl w:val="1"/>
        <w:rPr>
          <w:b/>
          <w:bCs/>
          <w:sz w:val="24"/>
          <w:szCs w:val="24"/>
        </w:rPr>
      </w:pPr>
    </w:p>
    <w:p w14:paraId="4644A8A8" w14:textId="530000BA" w:rsidR="00404015" w:rsidRPr="00404015" w:rsidRDefault="00404015" w:rsidP="00404015">
      <w:pPr>
        <w:pStyle w:val="Paragrafoelenco"/>
        <w:numPr>
          <w:ilvl w:val="0"/>
          <w:numId w:val="17"/>
        </w:numPr>
        <w:spacing w:line="360" w:lineRule="auto"/>
        <w:ind w:right="-1"/>
        <w:jc w:val="both"/>
        <w:rPr>
          <w:b/>
          <w:bCs/>
          <w:sz w:val="24"/>
          <w:szCs w:val="24"/>
        </w:rPr>
      </w:pPr>
      <w:r w:rsidRPr="00404015">
        <w:rPr>
          <w:b/>
          <w:bCs/>
          <w:sz w:val="24"/>
          <w:szCs w:val="24"/>
        </w:rPr>
        <w:t>La Corte di Cassazione</w:t>
      </w:r>
      <w:r w:rsidR="00FF0CB9">
        <w:rPr>
          <w:b/>
          <w:bCs/>
          <w:sz w:val="24"/>
          <w:szCs w:val="24"/>
        </w:rPr>
        <w:t xml:space="preserve">, </w:t>
      </w:r>
      <w:r w:rsidRPr="00404015">
        <w:rPr>
          <w:b/>
          <w:bCs/>
          <w:sz w:val="24"/>
          <w:szCs w:val="24"/>
        </w:rPr>
        <w:t>a Sezioni Unite</w:t>
      </w:r>
      <w:r w:rsidR="00FF0CB9">
        <w:rPr>
          <w:b/>
          <w:bCs/>
          <w:sz w:val="24"/>
          <w:szCs w:val="24"/>
        </w:rPr>
        <w:t xml:space="preserve">, </w:t>
      </w:r>
      <w:r w:rsidRPr="00404015">
        <w:rPr>
          <w:b/>
          <w:bCs/>
          <w:sz w:val="24"/>
          <w:szCs w:val="24"/>
        </w:rPr>
        <w:t xml:space="preserve">con l’importante </w:t>
      </w:r>
      <w:r w:rsidR="00FF0CB9">
        <w:rPr>
          <w:b/>
          <w:bCs/>
          <w:sz w:val="24"/>
          <w:szCs w:val="24"/>
        </w:rPr>
        <w:t xml:space="preserve">e condivisibile </w:t>
      </w:r>
      <w:r w:rsidRPr="00404015">
        <w:rPr>
          <w:b/>
          <w:bCs/>
          <w:sz w:val="24"/>
          <w:szCs w:val="24"/>
        </w:rPr>
        <w:t>sentenza n. 34419/2023</w:t>
      </w:r>
      <w:r w:rsidR="005C7AE7">
        <w:rPr>
          <w:b/>
          <w:bCs/>
          <w:sz w:val="24"/>
          <w:szCs w:val="24"/>
        </w:rPr>
        <w:t xml:space="preserve"> </w:t>
      </w:r>
      <w:r w:rsidRPr="00404015">
        <w:rPr>
          <w:b/>
          <w:bCs/>
          <w:sz w:val="24"/>
          <w:szCs w:val="24"/>
        </w:rPr>
        <w:t xml:space="preserve">aveva formulato il seguente principio di diritto: </w:t>
      </w:r>
    </w:p>
    <w:p w14:paraId="5B5CB9ED" w14:textId="6ACA2161" w:rsidR="0065614E" w:rsidRDefault="00404015" w:rsidP="00C84044">
      <w:pPr>
        <w:pStyle w:val="Paragrafoelenco"/>
        <w:spacing w:line="240" w:lineRule="auto"/>
        <w:ind w:right="849"/>
        <w:jc w:val="both"/>
        <w:rPr>
          <w:i/>
          <w:iCs/>
          <w:sz w:val="24"/>
          <w:szCs w:val="24"/>
        </w:rPr>
      </w:pPr>
      <w:r w:rsidRPr="00404015">
        <w:rPr>
          <w:i/>
          <w:iCs/>
          <w:sz w:val="24"/>
          <w:szCs w:val="24"/>
        </w:rPr>
        <w:t>“</w:t>
      </w:r>
      <w:r w:rsidR="00457AA4">
        <w:rPr>
          <w:i/>
          <w:iCs/>
          <w:sz w:val="24"/>
          <w:szCs w:val="24"/>
        </w:rPr>
        <w:t>I</w:t>
      </w:r>
      <w:r w:rsidRPr="00404015">
        <w:rPr>
          <w:i/>
          <w:iCs/>
          <w:sz w:val="24"/>
          <w:szCs w:val="24"/>
        </w:rPr>
        <w:t xml:space="preserve">n tema di compensazione di crediti o eccedenze d'imposta da parte del contribuente, all'azione di accertamento dell'erario si applica il </w:t>
      </w:r>
      <w:proofErr w:type="spellStart"/>
      <w:r w:rsidRPr="00404015">
        <w:rPr>
          <w:i/>
          <w:iCs/>
          <w:sz w:val="24"/>
          <w:szCs w:val="24"/>
        </w:rPr>
        <w:t>piu'</w:t>
      </w:r>
      <w:proofErr w:type="spellEnd"/>
      <w:r w:rsidRPr="00404015">
        <w:rPr>
          <w:i/>
          <w:iCs/>
          <w:sz w:val="24"/>
          <w:szCs w:val="24"/>
        </w:rPr>
        <w:t xml:space="preserve"> lungo termine di otto anni, di cui all'articolo 27, comma 16, Decreto Legge n. 185 del 2008, quando il credito utilizzato </w:t>
      </w:r>
      <w:proofErr w:type="spellStart"/>
      <w:r w:rsidRPr="00404015">
        <w:rPr>
          <w:i/>
          <w:iCs/>
          <w:sz w:val="24"/>
          <w:szCs w:val="24"/>
        </w:rPr>
        <w:t>e'</w:t>
      </w:r>
      <w:proofErr w:type="spellEnd"/>
      <w:r w:rsidRPr="00404015">
        <w:rPr>
          <w:i/>
          <w:iCs/>
          <w:sz w:val="24"/>
          <w:szCs w:val="24"/>
        </w:rPr>
        <w:t xml:space="preserve"> </w:t>
      </w:r>
      <w:r w:rsidRPr="00791CA4">
        <w:rPr>
          <w:b/>
          <w:i/>
          <w:iCs/>
          <w:sz w:val="24"/>
          <w:szCs w:val="24"/>
        </w:rPr>
        <w:t>inesistente</w:t>
      </w:r>
      <w:r w:rsidRPr="00404015">
        <w:rPr>
          <w:i/>
          <w:iCs/>
          <w:sz w:val="24"/>
          <w:szCs w:val="24"/>
        </w:rPr>
        <w:t xml:space="preserve">, condizione che si realizza - alla luce anche dell'articolo 13, comma 5, terzo periodo, Decreto Legislativo n. 471 del 1997, come modificato dal Decreto Legislativo n. 158 del 2015 - </w:t>
      </w:r>
      <w:proofErr w:type="spellStart"/>
      <w:r w:rsidRPr="00791CA4">
        <w:rPr>
          <w:b/>
          <w:i/>
          <w:iCs/>
          <w:sz w:val="24"/>
          <w:szCs w:val="24"/>
        </w:rPr>
        <w:t>allorche</w:t>
      </w:r>
      <w:proofErr w:type="spellEnd"/>
      <w:r w:rsidRPr="00791CA4">
        <w:rPr>
          <w:b/>
          <w:i/>
          <w:iCs/>
          <w:sz w:val="24"/>
          <w:szCs w:val="24"/>
        </w:rPr>
        <w:t>' ricorrano congiuntamente i seguenti requisiti:</w:t>
      </w:r>
      <w:r w:rsidRPr="00404015">
        <w:rPr>
          <w:i/>
          <w:iCs/>
          <w:sz w:val="24"/>
          <w:szCs w:val="24"/>
        </w:rPr>
        <w:t xml:space="preserve"> </w:t>
      </w:r>
      <w:r w:rsidRPr="00507D36">
        <w:rPr>
          <w:b/>
          <w:bCs/>
          <w:i/>
          <w:iCs/>
          <w:sz w:val="24"/>
          <w:szCs w:val="24"/>
        </w:rPr>
        <w:t>a)</w:t>
      </w:r>
      <w:r w:rsidRPr="00404015">
        <w:rPr>
          <w:i/>
          <w:iCs/>
          <w:sz w:val="24"/>
          <w:szCs w:val="24"/>
        </w:rPr>
        <w:t xml:space="preserve"> il credito, in tutto o in parte, </w:t>
      </w:r>
      <w:proofErr w:type="spellStart"/>
      <w:r w:rsidRPr="00404015">
        <w:rPr>
          <w:i/>
          <w:iCs/>
          <w:sz w:val="24"/>
          <w:szCs w:val="24"/>
        </w:rPr>
        <w:t>e'</w:t>
      </w:r>
      <w:proofErr w:type="spellEnd"/>
      <w:r w:rsidRPr="00404015">
        <w:rPr>
          <w:i/>
          <w:iCs/>
          <w:sz w:val="24"/>
          <w:szCs w:val="24"/>
        </w:rPr>
        <w:t xml:space="preserve"> il risultato di una artificiosa rappresentazione ovvero </w:t>
      </w:r>
      <w:proofErr w:type="spellStart"/>
      <w:r w:rsidRPr="00404015">
        <w:rPr>
          <w:i/>
          <w:iCs/>
          <w:sz w:val="24"/>
          <w:szCs w:val="24"/>
        </w:rPr>
        <w:t>e'</w:t>
      </w:r>
      <w:proofErr w:type="spellEnd"/>
      <w:r w:rsidRPr="00404015">
        <w:rPr>
          <w:i/>
          <w:iCs/>
          <w:sz w:val="24"/>
          <w:szCs w:val="24"/>
        </w:rPr>
        <w:t xml:space="preserve"> carente dei presupposti costitutivi previsti dalla legge ovvero, pur sorto, </w:t>
      </w:r>
      <w:proofErr w:type="spellStart"/>
      <w:r w:rsidRPr="00404015">
        <w:rPr>
          <w:i/>
          <w:iCs/>
          <w:sz w:val="24"/>
          <w:szCs w:val="24"/>
        </w:rPr>
        <w:t>e'</w:t>
      </w:r>
      <w:proofErr w:type="spellEnd"/>
      <w:r w:rsidRPr="00404015">
        <w:rPr>
          <w:i/>
          <w:iCs/>
          <w:sz w:val="24"/>
          <w:szCs w:val="24"/>
        </w:rPr>
        <w:t xml:space="preserve"> </w:t>
      </w:r>
      <w:proofErr w:type="spellStart"/>
      <w:r w:rsidRPr="00404015">
        <w:rPr>
          <w:i/>
          <w:iCs/>
          <w:sz w:val="24"/>
          <w:szCs w:val="24"/>
        </w:rPr>
        <w:t>gia'</w:t>
      </w:r>
      <w:proofErr w:type="spellEnd"/>
      <w:r w:rsidRPr="00404015">
        <w:rPr>
          <w:i/>
          <w:iCs/>
          <w:sz w:val="24"/>
          <w:szCs w:val="24"/>
        </w:rPr>
        <w:t xml:space="preserve"> estinto al momento del suo utilizzo; </w:t>
      </w:r>
      <w:r w:rsidRPr="00507D36">
        <w:rPr>
          <w:b/>
          <w:bCs/>
          <w:i/>
          <w:iCs/>
          <w:sz w:val="24"/>
          <w:szCs w:val="24"/>
        </w:rPr>
        <w:t xml:space="preserve">b) l'inesistenza non </w:t>
      </w:r>
      <w:proofErr w:type="spellStart"/>
      <w:r w:rsidRPr="00507D36">
        <w:rPr>
          <w:b/>
          <w:bCs/>
          <w:i/>
          <w:iCs/>
          <w:sz w:val="24"/>
          <w:szCs w:val="24"/>
        </w:rPr>
        <w:t>e'</w:t>
      </w:r>
      <w:proofErr w:type="spellEnd"/>
      <w:r w:rsidRPr="00507D36">
        <w:rPr>
          <w:b/>
          <w:bCs/>
          <w:i/>
          <w:iCs/>
          <w:sz w:val="24"/>
          <w:szCs w:val="24"/>
        </w:rPr>
        <w:t xml:space="preserve"> riscontrabile mediante i controlli di cui agli articoli 36-bis e 36-ter Decreto del Presidente della Repubblica n. 600 del 1973 e all'articolo 54-bis Decreto del Presidente della Repubblica n. 633 del 1972</w:t>
      </w:r>
      <w:r w:rsidRPr="00404015">
        <w:rPr>
          <w:i/>
          <w:iCs/>
          <w:sz w:val="24"/>
          <w:szCs w:val="24"/>
        </w:rPr>
        <w:t xml:space="preserve">; </w:t>
      </w:r>
      <w:r w:rsidRPr="0011142F">
        <w:rPr>
          <w:b/>
          <w:i/>
          <w:iCs/>
          <w:sz w:val="24"/>
          <w:szCs w:val="24"/>
        </w:rPr>
        <w:t xml:space="preserve">ove sussista il primo requisito ma l'inesistenza sia riscontrabile in sede di controllo formale o automatizzato, la compensazione indebita riguarda crediti non spettanti e si applicano i termini ordinari per </w:t>
      </w:r>
      <w:proofErr w:type="spellStart"/>
      <w:r w:rsidRPr="0011142F">
        <w:rPr>
          <w:b/>
          <w:i/>
          <w:iCs/>
          <w:sz w:val="24"/>
          <w:szCs w:val="24"/>
        </w:rPr>
        <w:t>l'attivita'</w:t>
      </w:r>
      <w:proofErr w:type="spellEnd"/>
      <w:r w:rsidRPr="0011142F">
        <w:rPr>
          <w:b/>
          <w:i/>
          <w:iCs/>
          <w:sz w:val="24"/>
          <w:szCs w:val="24"/>
        </w:rPr>
        <w:t xml:space="preserve"> di accertamento</w:t>
      </w:r>
      <w:r w:rsidR="0011142F" w:rsidRPr="0011142F">
        <w:rPr>
          <w:b/>
          <w:i/>
          <w:iCs/>
          <w:sz w:val="24"/>
          <w:szCs w:val="24"/>
        </w:rPr>
        <w:t>.</w:t>
      </w:r>
      <w:r w:rsidRPr="0011142F">
        <w:rPr>
          <w:b/>
          <w:i/>
          <w:iCs/>
          <w:sz w:val="24"/>
          <w:szCs w:val="24"/>
        </w:rPr>
        <w:t>”</w:t>
      </w:r>
    </w:p>
    <w:p w14:paraId="3E5823BE" w14:textId="77777777" w:rsidR="0065614E" w:rsidRDefault="0065614E" w:rsidP="0065614E">
      <w:pPr>
        <w:pStyle w:val="Paragrafoelenco"/>
        <w:spacing w:line="240" w:lineRule="auto"/>
        <w:ind w:right="-1"/>
        <w:jc w:val="both"/>
        <w:rPr>
          <w:sz w:val="24"/>
          <w:szCs w:val="24"/>
        </w:rPr>
      </w:pPr>
    </w:p>
    <w:p w14:paraId="526B1A59" w14:textId="4DB9EE65" w:rsidR="0065614E" w:rsidRPr="005C7AE7" w:rsidRDefault="0065614E" w:rsidP="005C7AE7">
      <w:pPr>
        <w:pStyle w:val="Paragrafoelenco"/>
        <w:spacing w:line="240" w:lineRule="auto"/>
        <w:ind w:right="-1"/>
        <w:jc w:val="both"/>
        <w:rPr>
          <w:b/>
          <w:bCs/>
          <w:sz w:val="24"/>
          <w:szCs w:val="24"/>
        </w:rPr>
      </w:pPr>
      <w:r w:rsidRPr="005C7AE7">
        <w:rPr>
          <w:b/>
          <w:bCs/>
          <w:sz w:val="24"/>
          <w:szCs w:val="24"/>
        </w:rPr>
        <w:t xml:space="preserve">I suddetti principi sono stati ribaditi </w:t>
      </w:r>
      <w:r w:rsidR="00BE0350">
        <w:rPr>
          <w:b/>
          <w:bCs/>
          <w:sz w:val="24"/>
          <w:szCs w:val="24"/>
        </w:rPr>
        <w:t>sempre</w:t>
      </w:r>
      <w:r w:rsidRPr="005C7AE7">
        <w:rPr>
          <w:b/>
          <w:bCs/>
          <w:sz w:val="24"/>
          <w:szCs w:val="24"/>
        </w:rPr>
        <w:t xml:space="preserve"> dalla Corte di Cassazione a Sezioni Unite con la sentenza n. 34452/2023</w:t>
      </w:r>
      <w:r w:rsidR="005C7AE7">
        <w:rPr>
          <w:b/>
          <w:bCs/>
          <w:sz w:val="24"/>
          <w:szCs w:val="24"/>
        </w:rPr>
        <w:t>.</w:t>
      </w:r>
    </w:p>
    <w:p w14:paraId="0B9384E1" w14:textId="77777777" w:rsidR="00404015" w:rsidRPr="00404015" w:rsidRDefault="00404015" w:rsidP="00404015">
      <w:pPr>
        <w:pStyle w:val="Paragrafoelenco"/>
        <w:spacing w:line="240" w:lineRule="auto"/>
        <w:ind w:right="-1"/>
        <w:jc w:val="both"/>
        <w:rPr>
          <w:sz w:val="24"/>
          <w:szCs w:val="24"/>
        </w:rPr>
      </w:pPr>
    </w:p>
    <w:p w14:paraId="4CB2EA0F" w14:textId="62ED003A" w:rsidR="00404015" w:rsidRDefault="004C6E6B" w:rsidP="00404015">
      <w:pPr>
        <w:pStyle w:val="Paragrafoelenco"/>
        <w:numPr>
          <w:ilvl w:val="0"/>
          <w:numId w:val="17"/>
        </w:numPr>
        <w:spacing w:line="360" w:lineRule="auto"/>
        <w:ind w:right="-1"/>
        <w:jc w:val="both"/>
        <w:rPr>
          <w:b/>
          <w:bCs/>
          <w:sz w:val="24"/>
          <w:szCs w:val="24"/>
        </w:rPr>
      </w:pPr>
      <w:r w:rsidRPr="004C6E6B">
        <w:rPr>
          <w:b/>
          <w:bCs/>
          <w:sz w:val="24"/>
          <w:szCs w:val="24"/>
        </w:rPr>
        <w:t>L’art. 1</w:t>
      </w:r>
      <w:r>
        <w:rPr>
          <w:b/>
          <w:bCs/>
          <w:sz w:val="24"/>
          <w:szCs w:val="24"/>
        </w:rPr>
        <w:t>, primo comma, D.Lgs. n. 74/2000 ha, invece, stabilito dal 29.06.2024 che:</w:t>
      </w:r>
    </w:p>
    <w:p w14:paraId="2538F46A" w14:textId="77777777" w:rsidR="004C6E6B" w:rsidRPr="004C6E6B" w:rsidRDefault="004C6E6B" w:rsidP="004C6E6B">
      <w:pPr>
        <w:pStyle w:val="Paragrafoelenco"/>
        <w:spacing w:line="240" w:lineRule="auto"/>
        <w:ind w:right="-1"/>
        <w:jc w:val="both"/>
        <w:rPr>
          <w:b/>
          <w:bCs/>
          <w:i/>
          <w:iCs/>
          <w:sz w:val="24"/>
          <w:szCs w:val="24"/>
        </w:rPr>
      </w:pPr>
      <w:r>
        <w:rPr>
          <w:b/>
          <w:bCs/>
          <w:i/>
          <w:iCs/>
          <w:sz w:val="24"/>
          <w:szCs w:val="24"/>
        </w:rPr>
        <w:t>“</w:t>
      </w:r>
      <w:r w:rsidRPr="004C6E6B">
        <w:rPr>
          <w:b/>
          <w:bCs/>
          <w:i/>
          <w:iCs/>
          <w:sz w:val="24"/>
          <w:szCs w:val="24"/>
        </w:rPr>
        <w:t>g-quater)</w:t>
      </w:r>
      <w:r w:rsidRPr="004C6E6B">
        <w:rPr>
          <w:i/>
          <w:iCs/>
          <w:sz w:val="24"/>
          <w:szCs w:val="24"/>
        </w:rPr>
        <w:t xml:space="preserve">  </w:t>
      </w:r>
      <w:r w:rsidRPr="004C6E6B">
        <w:rPr>
          <w:b/>
          <w:bCs/>
          <w:i/>
          <w:iCs/>
          <w:sz w:val="24"/>
          <w:szCs w:val="24"/>
        </w:rPr>
        <w:t>per “crediti inesistenti” si intendono:</w:t>
      </w:r>
    </w:p>
    <w:p w14:paraId="15055E07" w14:textId="77777777" w:rsidR="004C6E6B" w:rsidRPr="004C6E6B" w:rsidRDefault="004C6E6B" w:rsidP="00BE0350">
      <w:pPr>
        <w:pStyle w:val="Paragrafoelenco"/>
        <w:spacing w:line="240" w:lineRule="auto"/>
        <w:ind w:left="709" w:right="-1" w:firstLine="11"/>
        <w:jc w:val="both"/>
        <w:rPr>
          <w:i/>
          <w:iCs/>
          <w:sz w:val="24"/>
          <w:szCs w:val="24"/>
        </w:rPr>
      </w:pPr>
      <w:r w:rsidRPr="004C6E6B">
        <w:rPr>
          <w:i/>
          <w:iCs/>
          <w:sz w:val="24"/>
          <w:szCs w:val="24"/>
        </w:rPr>
        <w:t>1)   i crediti per i quali mancano, in tutto o in parte, i requisiti oggettivi o soggettivi specificamente indicati nella disciplina normativa di riferimento;</w:t>
      </w:r>
    </w:p>
    <w:p w14:paraId="09F4EC04" w14:textId="77777777" w:rsidR="004C6E6B" w:rsidRPr="004C6E6B" w:rsidRDefault="004C6E6B" w:rsidP="004C6E6B">
      <w:pPr>
        <w:pStyle w:val="Paragrafoelenco"/>
        <w:spacing w:line="240" w:lineRule="auto"/>
        <w:ind w:right="-1"/>
        <w:jc w:val="both"/>
        <w:rPr>
          <w:i/>
          <w:iCs/>
          <w:sz w:val="24"/>
          <w:szCs w:val="24"/>
        </w:rPr>
      </w:pPr>
      <w:r w:rsidRPr="004C6E6B">
        <w:rPr>
          <w:i/>
          <w:iCs/>
          <w:sz w:val="24"/>
          <w:szCs w:val="24"/>
        </w:rPr>
        <w:lastRenderedPageBreak/>
        <w:t>2)  i crediti per i quali i requisiti oggettivi e soggettivi di cui al numero 1) sono oggetto di rappresentazioni fraudolente, attuate con documenti materialmente o ideologicamente falsi, simulazioni o artifici;</w:t>
      </w:r>
    </w:p>
    <w:p w14:paraId="140F1525" w14:textId="77777777" w:rsidR="004C6E6B" w:rsidRPr="004C6E6B" w:rsidRDefault="004C6E6B" w:rsidP="004C6E6B">
      <w:pPr>
        <w:pStyle w:val="Paragrafoelenco"/>
        <w:spacing w:line="240" w:lineRule="auto"/>
        <w:ind w:right="-1"/>
        <w:jc w:val="both"/>
        <w:rPr>
          <w:b/>
          <w:bCs/>
          <w:i/>
          <w:iCs/>
          <w:sz w:val="24"/>
          <w:szCs w:val="24"/>
        </w:rPr>
      </w:pPr>
      <w:r w:rsidRPr="004C6E6B">
        <w:rPr>
          <w:b/>
          <w:bCs/>
          <w:i/>
          <w:iCs/>
          <w:sz w:val="24"/>
          <w:szCs w:val="24"/>
        </w:rPr>
        <w:t>g-quinquies)  per “crediti non spettanti” si intendono:</w:t>
      </w:r>
    </w:p>
    <w:p w14:paraId="21AAEF0E" w14:textId="77777777" w:rsidR="004C6E6B" w:rsidRPr="004C6E6B" w:rsidRDefault="004C6E6B" w:rsidP="004C6E6B">
      <w:pPr>
        <w:pStyle w:val="Paragrafoelenco"/>
        <w:spacing w:line="240" w:lineRule="auto"/>
        <w:ind w:right="-1"/>
        <w:jc w:val="both"/>
        <w:rPr>
          <w:i/>
          <w:iCs/>
          <w:sz w:val="24"/>
          <w:szCs w:val="24"/>
        </w:rPr>
      </w:pPr>
      <w:r w:rsidRPr="004C6E6B">
        <w:rPr>
          <w:i/>
          <w:iCs/>
          <w:sz w:val="24"/>
          <w:szCs w:val="24"/>
        </w:rPr>
        <w:t>1)  i crediti fruiti in violazione delle modalità di utilizzo previste dalle leggi vigenti ovvero, per la relativa eccedenza, quelli fruiti in misura superiore a quella stabilita dalle norme di riferimento;</w:t>
      </w:r>
    </w:p>
    <w:p w14:paraId="35A1B1EC" w14:textId="77777777" w:rsidR="004C6E6B" w:rsidRPr="004C6E6B" w:rsidRDefault="004C6E6B" w:rsidP="004C6E6B">
      <w:pPr>
        <w:pStyle w:val="Paragrafoelenco"/>
        <w:spacing w:line="240" w:lineRule="auto"/>
        <w:ind w:right="-1"/>
        <w:jc w:val="both"/>
        <w:rPr>
          <w:i/>
          <w:iCs/>
          <w:sz w:val="24"/>
          <w:szCs w:val="24"/>
        </w:rPr>
      </w:pPr>
      <w:r w:rsidRPr="004C6E6B">
        <w:rPr>
          <w:i/>
          <w:iCs/>
          <w:sz w:val="24"/>
          <w:szCs w:val="24"/>
        </w:rPr>
        <w:t>2)  i crediti che, pur in presenza dei requisiti soggettivi e oggettivi specificamente indicati nella disciplina normativa di riferimento, sono fondati su fatti non rientranti nella disciplina attributiva del credito per difetto di ulteriori elementi o particolari qualità richiesti ai fini del riconoscimento del credito;</w:t>
      </w:r>
    </w:p>
    <w:p w14:paraId="0715C8DA" w14:textId="35EE032B" w:rsidR="004C6E6B" w:rsidRDefault="004C6E6B" w:rsidP="004C6E6B">
      <w:pPr>
        <w:pStyle w:val="Paragrafoelenco"/>
        <w:spacing w:line="240" w:lineRule="auto"/>
        <w:ind w:right="-1"/>
        <w:jc w:val="both"/>
        <w:rPr>
          <w:i/>
          <w:iCs/>
          <w:sz w:val="24"/>
          <w:szCs w:val="24"/>
        </w:rPr>
      </w:pPr>
      <w:r w:rsidRPr="004C6E6B">
        <w:rPr>
          <w:i/>
          <w:iCs/>
          <w:sz w:val="24"/>
          <w:szCs w:val="24"/>
        </w:rPr>
        <w:t>3)  i crediti utilizzati in difetto dei prescritti adempimenti amministrativi espressamente previsti a pena di decadenza</w:t>
      </w:r>
      <w:r>
        <w:rPr>
          <w:i/>
          <w:iCs/>
          <w:sz w:val="24"/>
          <w:szCs w:val="24"/>
        </w:rPr>
        <w:t>”.”</w:t>
      </w:r>
    </w:p>
    <w:p w14:paraId="1A7FA45F" w14:textId="77777777" w:rsidR="004C6E6B" w:rsidRPr="004C6E6B" w:rsidRDefault="004C6E6B" w:rsidP="004C6E6B">
      <w:pPr>
        <w:pStyle w:val="Paragrafoelenco"/>
        <w:spacing w:line="240" w:lineRule="auto"/>
        <w:ind w:right="-1"/>
        <w:jc w:val="both"/>
        <w:rPr>
          <w:sz w:val="24"/>
          <w:szCs w:val="24"/>
        </w:rPr>
      </w:pPr>
    </w:p>
    <w:p w14:paraId="0B873287" w14:textId="77777777" w:rsidR="004C6E6B" w:rsidRPr="004C6E6B" w:rsidRDefault="004C6E6B" w:rsidP="004C6E6B">
      <w:pPr>
        <w:pStyle w:val="Paragrafoelenco"/>
        <w:numPr>
          <w:ilvl w:val="0"/>
          <w:numId w:val="17"/>
        </w:numPr>
        <w:spacing w:line="360" w:lineRule="auto"/>
        <w:ind w:right="-1"/>
        <w:jc w:val="both"/>
        <w:rPr>
          <w:sz w:val="24"/>
          <w:szCs w:val="24"/>
        </w:rPr>
      </w:pPr>
      <w:r>
        <w:rPr>
          <w:b/>
          <w:bCs/>
          <w:sz w:val="24"/>
          <w:szCs w:val="24"/>
        </w:rPr>
        <w:t xml:space="preserve">Da ultimo, la Corte di Cassazione – Sezione Tributaria – con l’ordinanza n. 25018/2024 ha rilevato che: </w:t>
      </w:r>
    </w:p>
    <w:p w14:paraId="2DCCF3AD" w14:textId="628211E7" w:rsidR="00507D36" w:rsidRDefault="004C6E6B" w:rsidP="00C47D19">
      <w:pPr>
        <w:pStyle w:val="Paragrafoelenco"/>
        <w:spacing w:line="240" w:lineRule="auto"/>
        <w:ind w:right="849"/>
        <w:jc w:val="both"/>
        <w:rPr>
          <w:i/>
          <w:iCs/>
          <w:sz w:val="24"/>
          <w:szCs w:val="24"/>
        </w:rPr>
      </w:pPr>
      <w:r w:rsidRPr="004C6E6B">
        <w:rPr>
          <w:sz w:val="24"/>
          <w:szCs w:val="24"/>
        </w:rPr>
        <w:t>“</w:t>
      </w:r>
      <w:r w:rsidRPr="004C6E6B">
        <w:rPr>
          <w:i/>
          <w:iCs/>
          <w:sz w:val="24"/>
          <w:szCs w:val="24"/>
        </w:rPr>
        <w:t xml:space="preserve">Di poi, va evidenziato che il D.Lgs. 14 giugno 2024 n.87 (pubblicato nella Gazzetta Ufficiale n. 150 del 28 giugni 2024) avente ad oggetto la revisione del sistema sanzionatorio tributario, all'art. 1, comma 1, opera una precisa distinzione tra crediti inesistenti e crediti non spettanti ai fini dell'applicazione della fattispecie di indebita compensazione prevista dall'art. 10 quater del D.Lgs. 10 marzo 2000, n. n. 74. </w:t>
      </w:r>
      <w:r w:rsidRPr="00BE0350">
        <w:rPr>
          <w:b/>
          <w:bCs/>
          <w:i/>
          <w:iCs/>
          <w:sz w:val="24"/>
          <w:szCs w:val="24"/>
        </w:rPr>
        <w:t>La distinzione operata nella norma sostanzialmente ripercorre i criteri differenziali enucleat</w:t>
      </w:r>
      <w:r w:rsidR="00791CA4">
        <w:rPr>
          <w:b/>
          <w:bCs/>
          <w:i/>
          <w:iCs/>
          <w:sz w:val="24"/>
          <w:szCs w:val="24"/>
        </w:rPr>
        <w:t>i</w:t>
      </w:r>
      <w:r w:rsidRPr="00BE0350">
        <w:rPr>
          <w:b/>
          <w:bCs/>
          <w:i/>
          <w:iCs/>
          <w:sz w:val="24"/>
          <w:szCs w:val="24"/>
        </w:rPr>
        <w:t xml:space="preserve"> dalle Sezioni Unite di questa Corte ed ulteriormente arricchit</w:t>
      </w:r>
      <w:r w:rsidR="00791CA4">
        <w:rPr>
          <w:b/>
          <w:bCs/>
          <w:i/>
          <w:iCs/>
          <w:sz w:val="24"/>
          <w:szCs w:val="24"/>
        </w:rPr>
        <w:t>i</w:t>
      </w:r>
      <w:r w:rsidRPr="00BE0350">
        <w:rPr>
          <w:b/>
          <w:bCs/>
          <w:i/>
          <w:iCs/>
          <w:sz w:val="24"/>
          <w:szCs w:val="24"/>
        </w:rPr>
        <w:t xml:space="preserve"> dalle pronunce giurisprudenziali che ne sono seguite</w:t>
      </w:r>
      <w:r w:rsidRPr="004C6E6B">
        <w:rPr>
          <w:i/>
          <w:iCs/>
          <w:sz w:val="24"/>
          <w:szCs w:val="24"/>
        </w:rPr>
        <w:t>.”</w:t>
      </w:r>
    </w:p>
    <w:p w14:paraId="32F5A642" w14:textId="77777777" w:rsidR="00C0705A" w:rsidRPr="00C47D19" w:rsidRDefault="00C0705A" w:rsidP="00C47D19">
      <w:pPr>
        <w:pStyle w:val="Paragrafoelenco"/>
        <w:spacing w:line="240" w:lineRule="auto"/>
        <w:ind w:right="849"/>
        <w:jc w:val="both"/>
        <w:rPr>
          <w:i/>
          <w:iCs/>
          <w:sz w:val="24"/>
          <w:szCs w:val="24"/>
        </w:rPr>
      </w:pPr>
    </w:p>
    <w:p w14:paraId="495CABF4" w14:textId="291CBA66" w:rsidR="00C84044" w:rsidRDefault="00507D36" w:rsidP="0011142F">
      <w:pPr>
        <w:pStyle w:val="Paragrafoelenco"/>
        <w:spacing w:line="240" w:lineRule="auto"/>
        <w:ind w:right="-1"/>
        <w:jc w:val="both"/>
        <w:rPr>
          <w:b/>
          <w:bCs/>
          <w:sz w:val="24"/>
          <w:szCs w:val="24"/>
        </w:rPr>
      </w:pPr>
      <w:r w:rsidRPr="00507D36">
        <w:rPr>
          <w:b/>
          <w:bCs/>
          <w:sz w:val="24"/>
          <w:szCs w:val="24"/>
        </w:rPr>
        <w:t>Ciò non è esatto, perché, a differenza di quanto stabilito dalle citate sentenze della Corte di Cassazione a Sezioni Unite, la modifica legislativa non prevede i riferimenti alle specifiche procedure di liquidazione (artt. 36</w:t>
      </w:r>
      <w:r>
        <w:rPr>
          <w:b/>
          <w:bCs/>
          <w:sz w:val="24"/>
          <w:szCs w:val="24"/>
        </w:rPr>
        <w:t>-</w:t>
      </w:r>
      <w:r w:rsidRPr="00507D36">
        <w:rPr>
          <w:b/>
          <w:bCs/>
          <w:sz w:val="24"/>
          <w:szCs w:val="24"/>
        </w:rPr>
        <w:t>bis e 36</w:t>
      </w:r>
      <w:r>
        <w:rPr>
          <w:b/>
          <w:bCs/>
          <w:sz w:val="24"/>
          <w:szCs w:val="24"/>
        </w:rPr>
        <w:t>-</w:t>
      </w:r>
      <w:r w:rsidRPr="00507D36">
        <w:rPr>
          <w:b/>
          <w:bCs/>
          <w:sz w:val="24"/>
          <w:szCs w:val="24"/>
        </w:rPr>
        <w:t>ter D.P.R. n. 600/1973 e art. 54</w:t>
      </w:r>
      <w:r>
        <w:rPr>
          <w:b/>
          <w:bCs/>
          <w:sz w:val="24"/>
          <w:szCs w:val="24"/>
        </w:rPr>
        <w:t>-</w:t>
      </w:r>
      <w:r w:rsidRPr="00507D36">
        <w:rPr>
          <w:b/>
          <w:bCs/>
          <w:sz w:val="24"/>
          <w:szCs w:val="24"/>
        </w:rPr>
        <w:t>bis D.P.R. n. 633/1972)</w:t>
      </w:r>
      <w:r w:rsidR="0011142F">
        <w:rPr>
          <w:b/>
          <w:bCs/>
          <w:sz w:val="24"/>
          <w:szCs w:val="24"/>
        </w:rPr>
        <w:t>, come avevo fatto presente nell’audizione tenuta alla Camera dei Deputati il 26/03/2024.</w:t>
      </w:r>
    </w:p>
    <w:p w14:paraId="428A0646" w14:textId="77777777" w:rsidR="00507D36" w:rsidRPr="00507D36" w:rsidRDefault="00507D36" w:rsidP="00507D36">
      <w:pPr>
        <w:pStyle w:val="Paragrafoelenco"/>
        <w:spacing w:line="360" w:lineRule="auto"/>
        <w:ind w:right="849"/>
        <w:jc w:val="both"/>
        <w:rPr>
          <w:b/>
          <w:bCs/>
          <w:sz w:val="24"/>
          <w:szCs w:val="24"/>
        </w:rPr>
      </w:pPr>
    </w:p>
    <w:p w14:paraId="08EE3480" w14:textId="77777777" w:rsidR="00AF510C" w:rsidRDefault="004C6E6B" w:rsidP="00404015">
      <w:pPr>
        <w:pStyle w:val="Paragrafoelenco"/>
        <w:numPr>
          <w:ilvl w:val="0"/>
          <w:numId w:val="17"/>
        </w:numPr>
        <w:spacing w:line="360" w:lineRule="auto"/>
        <w:ind w:right="-1"/>
        <w:jc w:val="both"/>
        <w:rPr>
          <w:b/>
          <w:bCs/>
          <w:sz w:val="24"/>
          <w:szCs w:val="24"/>
        </w:rPr>
      </w:pPr>
      <w:r>
        <w:rPr>
          <w:b/>
          <w:bCs/>
          <w:sz w:val="24"/>
          <w:szCs w:val="24"/>
        </w:rPr>
        <w:t xml:space="preserve">Le suddette modifiche legislative quasi sicuramente creeranno problemi interpretativi sia in sede penale che </w:t>
      </w:r>
      <w:r w:rsidR="00C84044">
        <w:rPr>
          <w:b/>
          <w:bCs/>
          <w:sz w:val="24"/>
          <w:szCs w:val="24"/>
        </w:rPr>
        <w:t xml:space="preserve">in sede </w:t>
      </w:r>
      <w:r>
        <w:rPr>
          <w:b/>
          <w:bCs/>
          <w:sz w:val="24"/>
          <w:szCs w:val="24"/>
        </w:rPr>
        <w:t>tributaria</w:t>
      </w:r>
      <w:r w:rsidR="00AF510C">
        <w:rPr>
          <w:b/>
          <w:bCs/>
          <w:sz w:val="24"/>
          <w:szCs w:val="24"/>
        </w:rPr>
        <w:t xml:space="preserve">, per quanto riguarda: </w:t>
      </w:r>
    </w:p>
    <w:p w14:paraId="5A448EC6" w14:textId="1AECCA9C" w:rsidR="004C6E6B" w:rsidRDefault="00B03883" w:rsidP="00AF510C">
      <w:pPr>
        <w:pStyle w:val="Paragrafoelenco"/>
        <w:numPr>
          <w:ilvl w:val="0"/>
          <w:numId w:val="21"/>
        </w:numPr>
        <w:spacing w:line="360" w:lineRule="auto"/>
        <w:ind w:left="1134" w:right="-1" w:hanging="283"/>
        <w:jc w:val="both"/>
        <w:rPr>
          <w:b/>
          <w:bCs/>
          <w:sz w:val="24"/>
          <w:szCs w:val="24"/>
        </w:rPr>
      </w:pPr>
      <w:r>
        <w:rPr>
          <w:b/>
          <w:bCs/>
          <w:sz w:val="24"/>
          <w:szCs w:val="24"/>
        </w:rPr>
        <w:t>la decadenza (5 anni – 8 anni);</w:t>
      </w:r>
    </w:p>
    <w:p w14:paraId="7E3235F7" w14:textId="3B73E7B3" w:rsidR="00B03883" w:rsidRDefault="00E72CD8" w:rsidP="00AF510C">
      <w:pPr>
        <w:pStyle w:val="Paragrafoelenco"/>
        <w:numPr>
          <w:ilvl w:val="0"/>
          <w:numId w:val="21"/>
        </w:numPr>
        <w:spacing w:line="360" w:lineRule="auto"/>
        <w:ind w:left="1134" w:right="-1" w:hanging="283"/>
        <w:jc w:val="both"/>
        <w:rPr>
          <w:b/>
          <w:bCs/>
          <w:sz w:val="24"/>
          <w:szCs w:val="24"/>
        </w:rPr>
      </w:pPr>
      <w:r>
        <w:rPr>
          <w:b/>
          <w:bCs/>
          <w:sz w:val="24"/>
          <w:szCs w:val="24"/>
        </w:rPr>
        <w:t>le iscrizioni provvisorie (1/3 – per intero);</w:t>
      </w:r>
    </w:p>
    <w:p w14:paraId="361F6C22" w14:textId="4F4CDDBA" w:rsidR="00E72CD8" w:rsidRDefault="00E72CD8" w:rsidP="00E72CD8">
      <w:pPr>
        <w:pStyle w:val="Paragrafoelenco"/>
        <w:numPr>
          <w:ilvl w:val="0"/>
          <w:numId w:val="21"/>
        </w:numPr>
        <w:spacing w:line="360" w:lineRule="auto"/>
        <w:ind w:left="1134" w:right="-1" w:hanging="283"/>
        <w:jc w:val="both"/>
        <w:rPr>
          <w:b/>
          <w:bCs/>
          <w:sz w:val="24"/>
          <w:szCs w:val="24"/>
        </w:rPr>
      </w:pPr>
      <w:r>
        <w:rPr>
          <w:b/>
          <w:bCs/>
          <w:sz w:val="24"/>
          <w:szCs w:val="24"/>
        </w:rPr>
        <w:t>le sanzioni penali (pena massima 2 anni o 6 anni);</w:t>
      </w:r>
    </w:p>
    <w:p w14:paraId="2F8FDB16" w14:textId="48735F0F" w:rsidR="00E96397" w:rsidRDefault="00E72CD8" w:rsidP="00F863B7">
      <w:pPr>
        <w:pStyle w:val="Paragrafoelenco"/>
        <w:numPr>
          <w:ilvl w:val="0"/>
          <w:numId w:val="21"/>
        </w:numPr>
        <w:spacing w:line="360" w:lineRule="auto"/>
        <w:ind w:left="1134" w:right="-1" w:hanging="283"/>
        <w:jc w:val="both"/>
        <w:rPr>
          <w:b/>
          <w:bCs/>
          <w:sz w:val="24"/>
          <w:szCs w:val="24"/>
        </w:rPr>
      </w:pPr>
      <w:r>
        <w:rPr>
          <w:b/>
          <w:bCs/>
          <w:sz w:val="24"/>
          <w:szCs w:val="24"/>
        </w:rPr>
        <w:t xml:space="preserve">le sanzioni amministrative (se prima o dopo l’01 settembre 2024); </w:t>
      </w:r>
      <w:r w:rsidRPr="00E72CD8">
        <w:rPr>
          <w:b/>
          <w:bCs/>
          <w:sz w:val="24"/>
          <w:szCs w:val="24"/>
        </w:rPr>
        <w:t>a tal proposito si fa presente che la Corte di Cassazione</w:t>
      </w:r>
      <w:r>
        <w:rPr>
          <w:b/>
          <w:bCs/>
          <w:sz w:val="24"/>
          <w:szCs w:val="24"/>
        </w:rPr>
        <w:t xml:space="preserve"> – Sezione Tributaria</w:t>
      </w:r>
      <w:r w:rsidRPr="00E72CD8">
        <w:rPr>
          <w:b/>
          <w:bCs/>
          <w:sz w:val="24"/>
          <w:szCs w:val="24"/>
        </w:rPr>
        <w:t xml:space="preserve">, con la sentenza n. 34909/2024, nel rinviare il procedimento alla C.G.T. di Secondo Grado per un nuovo giudizio, ha rilevato che dovrà anche valutare la questione di legittimità costituzionale </w:t>
      </w:r>
      <w:r>
        <w:rPr>
          <w:b/>
          <w:bCs/>
          <w:sz w:val="24"/>
          <w:szCs w:val="24"/>
        </w:rPr>
        <w:t xml:space="preserve">sollevata </w:t>
      </w:r>
      <w:r w:rsidRPr="00E72CD8">
        <w:rPr>
          <w:b/>
          <w:bCs/>
          <w:sz w:val="24"/>
          <w:szCs w:val="24"/>
        </w:rPr>
        <w:t>sull’irretroattività del nuovo regime di cui all’art. 5 del D.Lgs</w:t>
      </w:r>
      <w:r>
        <w:rPr>
          <w:b/>
          <w:bCs/>
          <w:sz w:val="24"/>
          <w:szCs w:val="24"/>
        </w:rPr>
        <w:t>.</w:t>
      </w:r>
      <w:r w:rsidRPr="00E72CD8">
        <w:rPr>
          <w:b/>
          <w:bCs/>
          <w:sz w:val="24"/>
          <w:szCs w:val="24"/>
        </w:rPr>
        <w:t xml:space="preserve"> n. 87/2024</w:t>
      </w:r>
      <w:r w:rsidR="00C47D19">
        <w:rPr>
          <w:b/>
          <w:bCs/>
          <w:sz w:val="24"/>
          <w:szCs w:val="24"/>
        </w:rPr>
        <w:t>;</w:t>
      </w:r>
    </w:p>
    <w:p w14:paraId="0B882456" w14:textId="5843E79D" w:rsidR="00D850CC" w:rsidRPr="006B3415" w:rsidRDefault="00C47D19" w:rsidP="00D850CC">
      <w:pPr>
        <w:pStyle w:val="Paragrafoelenco"/>
        <w:numPr>
          <w:ilvl w:val="0"/>
          <w:numId w:val="21"/>
        </w:numPr>
        <w:spacing w:line="360" w:lineRule="auto"/>
        <w:ind w:left="1134" w:right="-1" w:hanging="283"/>
        <w:jc w:val="both"/>
        <w:rPr>
          <w:b/>
          <w:bCs/>
          <w:sz w:val="24"/>
          <w:szCs w:val="24"/>
        </w:rPr>
      </w:pPr>
      <w:r>
        <w:rPr>
          <w:b/>
          <w:bCs/>
          <w:sz w:val="24"/>
          <w:szCs w:val="24"/>
        </w:rPr>
        <w:t xml:space="preserve">non è escluso che la Corte Costituzionale accolga le prossime condivisibili eccezioni. </w:t>
      </w:r>
    </w:p>
    <w:p w14:paraId="291C2C13" w14:textId="76B92A05" w:rsidR="005C7AE7" w:rsidRPr="005C7AE7" w:rsidRDefault="005C7AE7" w:rsidP="00D44BD1">
      <w:pPr>
        <w:spacing w:line="360" w:lineRule="auto"/>
        <w:contextualSpacing/>
        <w:jc w:val="center"/>
        <w:outlineLvl w:val="0"/>
        <w:rPr>
          <w:b/>
          <w:bCs/>
          <w:sz w:val="28"/>
          <w:szCs w:val="28"/>
          <w:highlight w:val="yellow"/>
          <w:u w:val="single"/>
        </w:rPr>
      </w:pPr>
      <w:bookmarkStart w:id="154" w:name="_Toc186711266"/>
      <w:bookmarkStart w:id="155" w:name="_Toc186717016"/>
      <w:bookmarkStart w:id="156" w:name="_Toc186793172"/>
      <w:bookmarkStart w:id="157" w:name="_Toc186808375"/>
      <w:bookmarkStart w:id="158" w:name="_Toc186993226"/>
      <w:bookmarkStart w:id="159" w:name="_Toc187062393"/>
      <w:r w:rsidRPr="005C7AE7">
        <w:rPr>
          <w:b/>
          <w:bCs/>
          <w:sz w:val="28"/>
          <w:szCs w:val="28"/>
          <w:highlight w:val="yellow"/>
          <w:u w:val="single"/>
        </w:rPr>
        <w:lastRenderedPageBreak/>
        <w:t>PARTE QUARTA</w:t>
      </w:r>
      <w:bookmarkEnd w:id="154"/>
      <w:bookmarkEnd w:id="155"/>
      <w:bookmarkEnd w:id="156"/>
      <w:bookmarkEnd w:id="157"/>
      <w:bookmarkEnd w:id="158"/>
      <w:bookmarkEnd w:id="159"/>
      <w:r w:rsidRPr="005C7AE7">
        <w:rPr>
          <w:b/>
          <w:bCs/>
          <w:sz w:val="28"/>
          <w:szCs w:val="28"/>
          <w:highlight w:val="yellow"/>
          <w:u w:val="single"/>
        </w:rPr>
        <w:t xml:space="preserve"> </w:t>
      </w:r>
    </w:p>
    <w:p w14:paraId="38D3A719" w14:textId="57E15817" w:rsidR="005C7AE7" w:rsidRPr="00BE7E5B" w:rsidRDefault="005C7AE7" w:rsidP="00D44BD1">
      <w:pPr>
        <w:spacing w:line="360" w:lineRule="auto"/>
        <w:contextualSpacing/>
        <w:jc w:val="center"/>
        <w:outlineLvl w:val="0"/>
        <w:rPr>
          <w:b/>
          <w:bCs/>
          <w:i/>
          <w:iCs/>
          <w:sz w:val="28"/>
          <w:szCs w:val="28"/>
        </w:rPr>
      </w:pPr>
      <w:bookmarkStart w:id="160" w:name="_Toc186711267"/>
      <w:bookmarkStart w:id="161" w:name="_Toc186717017"/>
      <w:bookmarkStart w:id="162" w:name="_Toc186793173"/>
      <w:bookmarkStart w:id="163" w:name="_Toc186808376"/>
      <w:bookmarkStart w:id="164" w:name="_Toc186993227"/>
      <w:bookmarkStart w:id="165" w:name="_Toc187062394"/>
      <w:r w:rsidRPr="005C7AE7">
        <w:rPr>
          <w:b/>
          <w:bCs/>
          <w:sz w:val="28"/>
          <w:szCs w:val="28"/>
          <w:highlight w:val="yellow"/>
        </w:rPr>
        <w:t>CONCLUSION</w:t>
      </w:r>
      <w:r w:rsidR="00335F6D">
        <w:rPr>
          <w:b/>
          <w:bCs/>
          <w:sz w:val="28"/>
          <w:szCs w:val="28"/>
          <w:highlight w:val="yellow"/>
        </w:rPr>
        <w:t xml:space="preserve">I </w:t>
      </w:r>
      <w:r w:rsidRPr="005335D8">
        <w:rPr>
          <w:b/>
          <w:bCs/>
          <w:sz w:val="28"/>
          <w:szCs w:val="28"/>
          <w:highlight w:val="yellow"/>
        </w:rPr>
        <w:t>–</w:t>
      </w:r>
      <w:r w:rsidR="00335F6D" w:rsidRPr="005335D8">
        <w:rPr>
          <w:b/>
          <w:bCs/>
          <w:sz w:val="28"/>
          <w:szCs w:val="28"/>
          <w:highlight w:val="yellow"/>
        </w:rPr>
        <w:t xml:space="preserve"> </w:t>
      </w:r>
      <w:bookmarkStart w:id="166" w:name="_Hlk186793546"/>
      <w:bookmarkEnd w:id="160"/>
      <w:bookmarkEnd w:id="161"/>
      <w:bookmarkEnd w:id="162"/>
      <w:r w:rsidR="005335D8" w:rsidRPr="005335D8">
        <w:rPr>
          <w:b/>
          <w:bCs/>
          <w:sz w:val="28"/>
          <w:szCs w:val="28"/>
          <w:highlight w:val="yellow"/>
        </w:rPr>
        <w:t>NUOVA LEGGE DELEGA</w:t>
      </w:r>
      <w:bookmarkEnd w:id="163"/>
      <w:bookmarkEnd w:id="164"/>
      <w:bookmarkEnd w:id="166"/>
      <w:r w:rsidR="006B3415">
        <w:rPr>
          <w:b/>
          <w:bCs/>
          <w:sz w:val="28"/>
          <w:szCs w:val="28"/>
          <w:highlight w:val="yellow"/>
        </w:rPr>
        <w:t xml:space="preserve"> DI RIFORMA COSTITUZIONALE</w:t>
      </w:r>
      <w:bookmarkEnd w:id="165"/>
      <w:r w:rsidR="006B3415">
        <w:rPr>
          <w:b/>
          <w:bCs/>
          <w:sz w:val="28"/>
          <w:szCs w:val="28"/>
          <w:highlight w:val="yellow"/>
        </w:rPr>
        <w:t xml:space="preserve"> </w:t>
      </w:r>
    </w:p>
    <w:p w14:paraId="6A1242BE" w14:textId="26A99ADF" w:rsidR="00F308EE" w:rsidRPr="00D850CC" w:rsidRDefault="00F308EE" w:rsidP="0088326A">
      <w:pPr>
        <w:spacing w:line="360" w:lineRule="auto"/>
        <w:contextualSpacing/>
        <w:jc w:val="both"/>
        <w:rPr>
          <w:sz w:val="24"/>
          <w:szCs w:val="24"/>
        </w:rPr>
      </w:pPr>
      <w:r w:rsidRPr="00D850CC">
        <w:rPr>
          <w:sz w:val="24"/>
          <w:szCs w:val="24"/>
        </w:rPr>
        <w:t xml:space="preserve">Il </w:t>
      </w:r>
      <w:r w:rsidR="0088326A" w:rsidRPr="00D850CC">
        <w:rPr>
          <w:sz w:val="24"/>
          <w:szCs w:val="24"/>
        </w:rPr>
        <w:t>principio giuridico</w:t>
      </w:r>
      <w:r w:rsidRPr="00D850CC">
        <w:rPr>
          <w:sz w:val="24"/>
          <w:szCs w:val="24"/>
        </w:rPr>
        <w:t xml:space="preserve"> del </w:t>
      </w:r>
      <w:r w:rsidRPr="00D850CC">
        <w:rPr>
          <w:i/>
          <w:iCs/>
          <w:sz w:val="24"/>
          <w:szCs w:val="24"/>
        </w:rPr>
        <w:t>“ne bis in idem”</w:t>
      </w:r>
      <w:r w:rsidR="0088326A" w:rsidRPr="00D850CC">
        <w:rPr>
          <w:sz w:val="24"/>
          <w:szCs w:val="24"/>
        </w:rPr>
        <w:t xml:space="preserve">, che si traduce in </w:t>
      </w:r>
      <w:r w:rsidR="0088326A" w:rsidRPr="00D850CC">
        <w:rPr>
          <w:i/>
          <w:iCs/>
          <w:sz w:val="24"/>
          <w:szCs w:val="24"/>
        </w:rPr>
        <w:t>"non due volte per lo stesso fatto",</w:t>
      </w:r>
      <w:r w:rsidR="0088326A" w:rsidRPr="00D850CC">
        <w:rPr>
          <w:sz w:val="24"/>
          <w:szCs w:val="24"/>
        </w:rPr>
        <w:t xml:space="preserve"> rappresenta un pilastro del diritto penale, ma la sua applicazione nel contesto tributario solleva interrogativi significativi. </w:t>
      </w:r>
    </w:p>
    <w:p w14:paraId="5EE1061D" w14:textId="77777777" w:rsidR="001C3CE4" w:rsidRPr="00D850CC" w:rsidRDefault="0088326A" w:rsidP="0088326A">
      <w:pPr>
        <w:spacing w:line="360" w:lineRule="auto"/>
        <w:contextualSpacing/>
        <w:jc w:val="both"/>
        <w:rPr>
          <w:sz w:val="24"/>
          <w:szCs w:val="24"/>
        </w:rPr>
      </w:pPr>
      <w:r w:rsidRPr="00D850CC">
        <w:rPr>
          <w:sz w:val="24"/>
          <w:szCs w:val="24"/>
        </w:rPr>
        <w:t>Si tratta di un principio che mira a tutelare i diritti degli individui, impedendo che possano essere perseguiti più volte per la medesima violazione, sia essa di natura penale che tributaria.</w:t>
      </w:r>
    </w:p>
    <w:p w14:paraId="1A54B85B" w14:textId="68857F4B" w:rsidR="001C3CE4" w:rsidRPr="00D850CC" w:rsidRDefault="0088326A" w:rsidP="0088326A">
      <w:pPr>
        <w:spacing w:line="360" w:lineRule="auto"/>
        <w:contextualSpacing/>
        <w:jc w:val="both"/>
        <w:rPr>
          <w:sz w:val="24"/>
          <w:szCs w:val="24"/>
        </w:rPr>
      </w:pPr>
      <w:r w:rsidRPr="00D850CC">
        <w:rPr>
          <w:sz w:val="24"/>
          <w:szCs w:val="24"/>
        </w:rPr>
        <w:t xml:space="preserve">Le </w:t>
      </w:r>
      <w:r w:rsidR="00F308EE" w:rsidRPr="00D850CC">
        <w:rPr>
          <w:sz w:val="24"/>
          <w:szCs w:val="24"/>
        </w:rPr>
        <w:t>C</w:t>
      </w:r>
      <w:r w:rsidRPr="00D850CC">
        <w:rPr>
          <w:sz w:val="24"/>
          <w:szCs w:val="24"/>
        </w:rPr>
        <w:t xml:space="preserve">orti </w:t>
      </w:r>
      <w:bookmarkStart w:id="167" w:name="_Hlk186789430"/>
      <w:r w:rsidRPr="00D850CC">
        <w:rPr>
          <w:sz w:val="24"/>
          <w:szCs w:val="24"/>
        </w:rPr>
        <w:t xml:space="preserve">di giustizia </w:t>
      </w:r>
      <w:bookmarkEnd w:id="167"/>
      <w:r w:rsidRPr="00D850CC">
        <w:rPr>
          <w:sz w:val="24"/>
          <w:szCs w:val="24"/>
        </w:rPr>
        <w:t>tributaria hanno il compito specifico</w:t>
      </w:r>
      <w:r w:rsidR="00F308EE" w:rsidRPr="00D850CC">
        <w:rPr>
          <w:sz w:val="24"/>
          <w:szCs w:val="24"/>
        </w:rPr>
        <w:t xml:space="preserve"> </w:t>
      </w:r>
      <w:r w:rsidRPr="00D850CC">
        <w:rPr>
          <w:sz w:val="24"/>
          <w:szCs w:val="24"/>
        </w:rPr>
        <w:t xml:space="preserve">di dirimere le controversie che sorgono tra i </w:t>
      </w:r>
      <w:r w:rsidR="00F308EE" w:rsidRPr="00D850CC">
        <w:rPr>
          <w:sz w:val="24"/>
          <w:szCs w:val="24"/>
        </w:rPr>
        <w:t>C</w:t>
      </w:r>
      <w:r w:rsidRPr="00D850CC">
        <w:rPr>
          <w:sz w:val="24"/>
          <w:szCs w:val="24"/>
        </w:rPr>
        <w:t>ontribuenti e l'</w:t>
      </w:r>
      <w:r w:rsidR="00F308EE" w:rsidRPr="00D850CC">
        <w:rPr>
          <w:sz w:val="24"/>
          <w:szCs w:val="24"/>
        </w:rPr>
        <w:t>A</w:t>
      </w:r>
      <w:r w:rsidRPr="00D850CC">
        <w:rPr>
          <w:sz w:val="24"/>
          <w:szCs w:val="24"/>
        </w:rPr>
        <w:t>mministrazione finanziaria. La loro giurisdizione</w:t>
      </w:r>
      <w:r w:rsidR="00335F6D" w:rsidRPr="00D850CC">
        <w:rPr>
          <w:sz w:val="24"/>
          <w:szCs w:val="24"/>
        </w:rPr>
        <w:t xml:space="preserve"> </w:t>
      </w:r>
      <w:r w:rsidRPr="00D850CC">
        <w:rPr>
          <w:sz w:val="24"/>
          <w:szCs w:val="24"/>
        </w:rPr>
        <w:t>abbracci</w:t>
      </w:r>
      <w:r w:rsidR="00335F6D" w:rsidRPr="00D850CC">
        <w:rPr>
          <w:sz w:val="24"/>
          <w:szCs w:val="24"/>
        </w:rPr>
        <w:t>a</w:t>
      </w:r>
      <w:r w:rsidRPr="00D850CC">
        <w:rPr>
          <w:sz w:val="24"/>
          <w:szCs w:val="24"/>
        </w:rPr>
        <w:t xml:space="preserve"> questioni che riguardano </w:t>
      </w:r>
      <w:r w:rsidR="00335F6D" w:rsidRPr="00D850CC">
        <w:rPr>
          <w:sz w:val="24"/>
          <w:szCs w:val="24"/>
        </w:rPr>
        <w:t>esclusivamente</w:t>
      </w:r>
      <w:r w:rsidRPr="00D850CC">
        <w:rPr>
          <w:sz w:val="24"/>
          <w:szCs w:val="24"/>
        </w:rPr>
        <w:t xml:space="preserve"> la materia fiscale. </w:t>
      </w:r>
    </w:p>
    <w:p w14:paraId="1E227EFC" w14:textId="7015D27E" w:rsidR="001F7A25" w:rsidRPr="00D850CC" w:rsidRDefault="0088326A" w:rsidP="0088326A">
      <w:pPr>
        <w:spacing w:line="360" w:lineRule="auto"/>
        <w:contextualSpacing/>
        <w:jc w:val="both"/>
        <w:rPr>
          <w:b/>
          <w:bCs/>
          <w:sz w:val="24"/>
          <w:szCs w:val="24"/>
        </w:rPr>
      </w:pPr>
      <w:r w:rsidRPr="00D850CC">
        <w:rPr>
          <w:b/>
          <w:bCs/>
          <w:sz w:val="24"/>
          <w:szCs w:val="24"/>
        </w:rPr>
        <w:t>Tuttavia, l'idea di estendere il loro ambito di competenza per includere anche il penale tributario potrebbe rappresentare un modo per garantire una maggiore coerenza e razionalità nel sistema giuridico</w:t>
      </w:r>
      <w:r w:rsidR="00F308EE" w:rsidRPr="00D850CC">
        <w:rPr>
          <w:b/>
          <w:bCs/>
          <w:sz w:val="24"/>
          <w:szCs w:val="24"/>
        </w:rPr>
        <w:t xml:space="preserve"> ed evitare i contrasti</w:t>
      </w:r>
      <w:r w:rsidR="00176C91" w:rsidRPr="00D850CC">
        <w:rPr>
          <w:b/>
          <w:bCs/>
          <w:sz w:val="24"/>
          <w:szCs w:val="24"/>
        </w:rPr>
        <w:t xml:space="preserve">, le confusioni e </w:t>
      </w:r>
      <w:r w:rsidR="00F308EE" w:rsidRPr="00D850CC">
        <w:rPr>
          <w:b/>
          <w:bCs/>
          <w:sz w:val="24"/>
          <w:szCs w:val="24"/>
        </w:rPr>
        <w:t>le problematiche individuate succintamente</w:t>
      </w:r>
      <w:r w:rsidR="00335F6D" w:rsidRPr="00D850CC">
        <w:rPr>
          <w:b/>
          <w:bCs/>
          <w:sz w:val="24"/>
          <w:szCs w:val="24"/>
        </w:rPr>
        <w:t xml:space="preserve"> </w:t>
      </w:r>
      <w:r w:rsidR="00F308EE" w:rsidRPr="00D850CC">
        <w:rPr>
          <w:b/>
          <w:bCs/>
          <w:sz w:val="24"/>
          <w:szCs w:val="24"/>
        </w:rPr>
        <w:t>nel presente scritto</w:t>
      </w:r>
      <w:r w:rsidRPr="00D850CC">
        <w:rPr>
          <w:b/>
          <w:bCs/>
          <w:sz w:val="24"/>
          <w:szCs w:val="24"/>
        </w:rPr>
        <w:t>.</w:t>
      </w:r>
    </w:p>
    <w:p w14:paraId="438D8669" w14:textId="0874A77D" w:rsidR="001F7A25" w:rsidRPr="00D850CC" w:rsidRDefault="0088326A" w:rsidP="0088326A">
      <w:pPr>
        <w:spacing w:line="360" w:lineRule="auto"/>
        <w:contextualSpacing/>
        <w:jc w:val="both"/>
        <w:rPr>
          <w:sz w:val="24"/>
          <w:szCs w:val="24"/>
        </w:rPr>
      </w:pPr>
      <w:r w:rsidRPr="00D850CC">
        <w:rPr>
          <w:sz w:val="24"/>
          <w:szCs w:val="24"/>
        </w:rPr>
        <w:t>Le violazioni fiscali possono comportare</w:t>
      </w:r>
      <w:r w:rsidR="00F308EE" w:rsidRPr="00D850CC">
        <w:rPr>
          <w:sz w:val="24"/>
          <w:szCs w:val="24"/>
        </w:rPr>
        <w:t xml:space="preserve"> </w:t>
      </w:r>
      <w:r w:rsidRPr="00D850CC">
        <w:rPr>
          <w:sz w:val="24"/>
          <w:szCs w:val="24"/>
        </w:rPr>
        <w:t>sanzioni di tipo amministrativo, ma possono anche integrare reati di natura penale. In tal senso, se un contribuente subisce una sanzione in sede tributaria e successivamente viene perseguito penalmente per la medesima condotta, si potrebbe configurare una violazione del principio d</w:t>
      </w:r>
      <w:r w:rsidR="001C3CE4" w:rsidRPr="00D850CC">
        <w:rPr>
          <w:sz w:val="24"/>
          <w:szCs w:val="24"/>
        </w:rPr>
        <w:t xml:space="preserve">i </w:t>
      </w:r>
      <w:r w:rsidRPr="00D850CC">
        <w:rPr>
          <w:i/>
          <w:iCs/>
          <w:sz w:val="24"/>
          <w:szCs w:val="24"/>
        </w:rPr>
        <w:t>ne bis in idem</w:t>
      </w:r>
      <w:r w:rsidRPr="00D850CC">
        <w:rPr>
          <w:sz w:val="24"/>
          <w:szCs w:val="24"/>
        </w:rPr>
        <w:t>, creando una situazione di ingiustizia sostanziale.</w:t>
      </w:r>
    </w:p>
    <w:p w14:paraId="713D0164" w14:textId="4775A682" w:rsidR="001F7A25" w:rsidRPr="0011142F" w:rsidRDefault="0088326A" w:rsidP="0088326A">
      <w:pPr>
        <w:spacing w:line="360" w:lineRule="auto"/>
        <w:contextualSpacing/>
        <w:jc w:val="both"/>
        <w:rPr>
          <w:b/>
          <w:bCs/>
          <w:sz w:val="24"/>
          <w:szCs w:val="24"/>
        </w:rPr>
      </w:pPr>
      <w:r w:rsidRPr="00D850CC">
        <w:rPr>
          <w:b/>
          <w:bCs/>
          <w:sz w:val="24"/>
          <w:szCs w:val="24"/>
        </w:rPr>
        <w:t xml:space="preserve">Consentire alle </w:t>
      </w:r>
      <w:r w:rsidR="00176C91" w:rsidRPr="00D850CC">
        <w:rPr>
          <w:b/>
          <w:bCs/>
          <w:sz w:val="24"/>
          <w:szCs w:val="24"/>
        </w:rPr>
        <w:t xml:space="preserve">riformate </w:t>
      </w:r>
      <w:r w:rsidR="00F308EE" w:rsidRPr="00D850CC">
        <w:rPr>
          <w:b/>
          <w:bCs/>
          <w:sz w:val="24"/>
          <w:szCs w:val="24"/>
        </w:rPr>
        <w:t>C</w:t>
      </w:r>
      <w:r w:rsidRPr="00D850CC">
        <w:rPr>
          <w:b/>
          <w:bCs/>
          <w:sz w:val="24"/>
          <w:szCs w:val="24"/>
        </w:rPr>
        <w:t>orti</w:t>
      </w:r>
      <w:r w:rsidR="00F308EE" w:rsidRPr="00D850CC">
        <w:rPr>
          <w:b/>
          <w:bCs/>
          <w:sz w:val="24"/>
          <w:szCs w:val="24"/>
        </w:rPr>
        <w:t xml:space="preserve"> di giustizia</w:t>
      </w:r>
      <w:r w:rsidRPr="00D850CC">
        <w:rPr>
          <w:b/>
          <w:bCs/>
          <w:sz w:val="24"/>
          <w:szCs w:val="24"/>
        </w:rPr>
        <w:t xml:space="preserve"> tributari</w:t>
      </w:r>
      <w:r w:rsidR="00F308EE" w:rsidRPr="00D850CC">
        <w:rPr>
          <w:b/>
          <w:bCs/>
          <w:sz w:val="24"/>
          <w:szCs w:val="24"/>
        </w:rPr>
        <w:t>a</w:t>
      </w:r>
      <w:r w:rsidRPr="00D850CC">
        <w:rPr>
          <w:b/>
          <w:bCs/>
          <w:sz w:val="24"/>
          <w:szCs w:val="24"/>
        </w:rPr>
        <w:t xml:space="preserve"> di trattare anche le questioni penali potrebbe garantire una maggiore uniformità nelle decisioni, riducendo così il rischio</w:t>
      </w:r>
      <w:r w:rsidR="001C3CE4" w:rsidRPr="00D850CC">
        <w:rPr>
          <w:b/>
          <w:bCs/>
          <w:sz w:val="24"/>
          <w:szCs w:val="24"/>
        </w:rPr>
        <w:t xml:space="preserve"> </w:t>
      </w:r>
      <w:r w:rsidRPr="00D850CC">
        <w:rPr>
          <w:b/>
          <w:bCs/>
          <w:sz w:val="24"/>
          <w:szCs w:val="24"/>
        </w:rPr>
        <w:t xml:space="preserve">di sanzioni doppie </w:t>
      </w:r>
      <w:r w:rsidR="00176C91" w:rsidRPr="00D850CC">
        <w:rPr>
          <w:b/>
          <w:bCs/>
          <w:sz w:val="24"/>
          <w:szCs w:val="24"/>
        </w:rPr>
        <w:t xml:space="preserve">e contrastanti </w:t>
      </w:r>
      <w:r w:rsidRPr="00D850CC">
        <w:rPr>
          <w:b/>
          <w:bCs/>
          <w:sz w:val="24"/>
          <w:szCs w:val="24"/>
        </w:rPr>
        <w:t xml:space="preserve">per lo </w:t>
      </w:r>
      <w:r w:rsidRPr="006B3415">
        <w:rPr>
          <w:b/>
          <w:bCs/>
          <w:sz w:val="24"/>
          <w:szCs w:val="24"/>
        </w:rPr>
        <w:t>stesso fatto</w:t>
      </w:r>
      <w:r w:rsidR="006B3415" w:rsidRPr="006B3415">
        <w:rPr>
          <w:bCs/>
          <w:sz w:val="24"/>
          <w:szCs w:val="24"/>
        </w:rPr>
        <w:t xml:space="preserve"> (</w:t>
      </w:r>
      <w:r w:rsidR="006B3415" w:rsidRPr="0011142F">
        <w:rPr>
          <w:b/>
          <w:bCs/>
          <w:sz w:val="24"/>
          <w:szCs w:val="24"/>
        </w:rPr>
        <w:t>come, per esempio, oggi avviene nella magistratura militare ai sensi dell’art. 103, comma 3, della Costituzione</w:t>
      </w:r>
      <w:r w:rsidR="00040E44" w:rsidRPr="0011142F">
        <w:rPr>
          <w:b/>
          <w:bCs/>
          <w:sz w:val="24"/>
          <w:szCs w:val="24"/>
        </w:rPr>
        <w:t xml:space="preserve"> e Corte Costituzionale, con sentenza n. 207 del 28 maggio 1987</w:t>
      </w:r>
      <w:r w:rsidR="006B3415" w:rsidRPr="0011142F">
        <w:rPr>
          <w:b/>
          <w:bCs/>
          <w:sz w:val="24"/>
          <w:szCs w:val="24"/>
        </w:rPr>
        <w:t>)</w:t>
      </w:r>
      <w:r w:rsidRPr="0011142F">
        <w:rPr>
          <w:b/>
          <w:bCs/>
          <w:sz w:val="24"/>
          <w:szCs w:val="24"/>
        </w:rPr>
        <w:t>.</w:t>
      </w:r>
    </w:p>
    <w:p w14:paraId="593F9671" w14:textId="77777777" w:rsidR="00F971B4" w:rsidRPr="00D850CC" w:rsidRDefault="0088326A" w:rsidP="0088326A">
      <w:pPr>
        <w:spacing w:line="360" w:lineRule="auto"/>
        <w:contextualSpacing/>
        <w:jc w:val="both"/>
        <w:rPr>
          <w:sz w:val="24"/>
          <w:szCs w:val="24"/>
        </w:rPr>
      </w:pPr>
      <w:r w:rsidRPr="00D850CC">
        <w:rPr>
          <w:sz w:val="24"/>
          <w:szCs w:val="24"/>
        </w:rPr>
        <w:t xml:space="preserve">Un’unica </w:t>
      </w:r>
      <w:r w:rsidR="00F308EE" w:rsidRPr="00D850CC">
        <w:rPr>
          <w:sz w:val="24"/>
          <w:szCs w:val="24"/>
        </w:rPr>
        <w:t>C</w:t>
      </w:r>
      <w:r w:rsidRPr="00D850CC">
        <w:rPr>
          <w:sz w:val="24"/>
          <w:szCs w:val="24"/>
        </w:rPr>
        <w:t>orte</w:t>
      </w:r>
      <w:r w:rsidR="001C3CE4" w:rsidRPr="00D850CC">
        <w:rPr>
          <w:sz w:val="24"/>
          <w:szCs w:val="24"/>
        </w:rPr>
        <w:t xml:space="preserve">, specializzata nel settore tributario, </w:t>
      </w:r>
      <w:r w:rsidRPr="00D850CC">
        <w:rPr>
          <w:sz w:val="24"/>
          <w:szCs w:val="24"/>
        </w:rPr>
        <w:t>che si occupa della questione potrebbe offrire una protezione più efficace dei diritti del contribuente, evitando situazioni di incertezza</w:t>
      </w:r>
      <w:r w:rsidR="001C3CE4" w:rsidRPr="00D850CC">
        <w:rPr>
          <w:sz w:val="24"/>
          <w:szCs w:val="24"/>
        </w:rPr>
        <w:t xml:space="preserve"> </w:t>
      </w:r>
      <w:r w:rsidRPr="00D850CC">
        <w:rPr>
          <w:sz w:val="24"/>
          <w:szCs w:val="24"/>
        </w:rPr>
        <w:t>e confusione giuridica che possono derivare da procedimenti paralleli</w:t>
      </w:r>
      <w:r w:rsidR="001C3CE4" w:rsidRPr="00D850CC">
        <w:rPr>
          <w:sz w:val="24"/>
          <w:szCs w:val="24"/>
        </w:rPr>
        <w:t xml:space="preserve"> gestiti oggi da giudici ordinari (</w:t>
      </w:r>
      <w:r w:rsidR="001C3CE4" w:rsidRPr="00D850CC">
        <w:rPr>
          <w:b/>
          <w:bCs/>
          <w:i/>
          <w:iCs/>
          <w:sz w:val="24"/>
          <w:szCs w:val="24"/>
        </w:rPr>
        <w:t>c.d. doppio binario</w:t>
      </w:r>
      <w:r w:rsidR="001C3CE4" w:rsidRPr="00D850CC">
        <w:rPr>
          <w:sz w:val="24"/>
          <w:szCs w:val="24"/>
        </w:rPr>
        <w:t xml:space="preserve">). </w:t>
      </w:r>
    </w:p>
    <w:p w14:paraId="57907187" w14:textId="77777777" w:rsidR="00F971B4" w:rsidRPr="00D850CC" w:rsidRDefault="00372235" w:rsidP="00F308EE">
      <w:pPr>
        <w:spacing w:line="360" w:lineRule="auto"/>
        <w:contextualSpacing/>
        <w:jc w:val="both"/>
        <w:rPr>
          <w:sz w:val="24"/>
          <w:szCs w:val="24"/>
        </w:rPr>
      </w:pPr>
      <w:r w:rsidRPr="00D850CC">
        <w:rPr>
          <w:b/>
          <w:bCs/>
          <w:sz w:val="24"/>
          <w:szCs w:val="24"/>
        </w:rPr>
        <w:t xml:space="preserve">Con la riforma della citata Legge n. 130/2022 e la nascita della Quinta Magistratura Tributaria, i prossimi magistrati tributari dovranno superare </w:t>
      </w:r>
      <w:r w:rsidR="00F971B4" w:rsidRPr="00D850CC">
        <w:rPr>
          <w:b/>
          <w:bCs/>
          <w:sz w:val="24"/>
          <w:szCs w:val="24"/>
        </w:rPr>
        <w:t xml:space="preserve">per la prima volta </w:t>
      </w:r>
      <w:r w:rsidRPr="00D850CC">
        <w:rPr>
          <w:b/>
          <w:bCs/>
          <w:sz w:val="24"/>
          <w:szCs w:val="24"/>
        </w:rPr>
        <w:t xml:space="preserve">un difficile e selettivo concorso pubblico </w:t>
      </w:r>
      <w:r w:rsidR="00095992" w:rsidRPr="00D850CC">
        <w:rPr>
          <w:sz w:val="24"/>
          <w:szCs w:val="24"/>
        </w:rPr>
        <w:t>(la prova preselettiva si svolgerà il 14 febbraio 2025)</w:t>
      </w:r>
      <w:r w:rsidR="00F971B4" w:rsidRPr="00D850CC">
        <w:rPr>
          <w:sz w:val="24"/>
          <w:szCs w:val="24"/>
        </w:rPr>
        <w:t xml:space="preserve">, </w:t>
      </w:r>
      <w:r w:rsidRPr="00D850CC">
        <w:rPr>
          <w:b/>
          <w:bCs/>
          <w:sz w:val="24"/>
          <w:szCs w:val="24"/>
        </w:rPr>
        <w:t xml:space="preserve">nelle cui prove orali è previsto </w:t>
      </w:r>
      <w:r w:rsidR="00F971B4" w:rsidRPr="00D850CC">
        <w:rPr>
          <w:b/>
          <w:bCs/>
          <w:sz w:val="24"/>
          <w:szCs w:val="24"/>
        </w:rPr>
        <w:t xml:space="preserve">anche </w:t>
      </w:r>
      <w:r w:rsidRPr="00D850CC">
        <w:rPr>
          <w:b/>
          <w:bCs/>
          <w:sz w:val="24"/>
          <w:szCs w:val="24"/>
        </w:rPr>
        <w:t>il diritto penale tributario</w:t>
      </w:r>
      <w:r w:rsidR="00F971B4" w:rsidRPr="00D850CC">
        <w:rPr>
          <w:b/>
          <w:bCs/>
          <w:sz w:val="24"/>
          <w:szCs w:val="24"/>
        </w:rPr>
        <w:t xml:space="preserve">, e pertanto garantiscono competenza e professionalità anche nel settore penale – tributario. </w:t>
      </w:r>
    </w:p>
    <w:p w14:paraId="6E27AD4F" w14:textId="0D302E19" w:rsidR="002754A6" w:rsidRPr="00D850CC" w:rsidRDefault="00217C86" w:rsidP="00F308EE">
      <w:pPr>
        <w:spacing w:line="360" w:lineRule="auto"/>
        <w:contextualSpacing/>
        <w:jc w:val="both"/>
        <w:rPr>
          <w:sz w:val="24"/>
          <w:szCs w:val="24"/>
        </w:rPr>
      </w:pPr>
      <w:r w:rsidRPr="00D850CC">
        <w:rPr>
          <w:b/>
          <w:sz w:val="24"/>
          <w:szCs w:val="24"/>
        </w:rPr>
        <w:lastRenderedPageBreak/>
        <w:t>Pertanto</w:t>
      </w:r>
      <w:r w:rsidR="0088326A" w:rsidRPr="00D850CC">
        <w:rPr>
          <w:b/>
          <w:sz w:val="24"/>
          <w:szCs w:val="24"/>
        </w:rPr>
        <w:t xml:space="preserve">, </w:t>
      </w:r>
      <w:r w:rsidR="00F971B4" w:rsidRPr="00D850CC">
        <w:rPr>
          <w:b/>
          <w:sz w:val="24"/>
          <w:szCs w:val="24"/>
        </w:rPr>
        <w:t xml:space="preserve">anche in vista della prossima </w:t>
      </w:r>
      <w:r w:rsidR="00040E44">
        <w:rPr>
          <w:b/>
          <w:sz w:val="24"/>
          <w:szCs w:val="24"/>
        </w:rPr>
        <w:t xml:space="preserve">importante </w:t>
      </w:r>
      <w:r w:rsidR="00F971B4" w:rsidRPr="00D850CC">
        <w:rPr>
          <w:b/>
          <w:sz w:val="24"/>
          <w:szCs w:val="24"/>
        </w:rPr>
        <w:t>riforma</w:t>
      </w:r>
      <w:r w:rsidR="00040E44">
        <w:rPr>
          <w:b/>
          <w:sz w:val="24"/>
          <w:szCs w:val="24"/>
        </w:rPr>
        <w:t xml:space="preserve"> generale</w:t>
      </w:r>
      <w:r w:rsidR="00F971B4" w:rsidRPr="00D850CC">
        <w:rPr>
          <w:b/>
          <w:sz w:val="24"/>
          <w:szCs w:val="24"/>
        </w:rPr>
        <w:t xml:space="preserve"> della giustizia (tra cui, la separazione delle carriere), </w:t>
      </w:r>
      <w:r w:rsidR="0088326A" w:rsidRPr="00D850CC">
        <w:rPr>
          <w:b/>
          <w:sz w:val="24"/>
          <w:szCs w:val="24"/>
        </w:rPr>
        <w:t xml:space="preserve">è fondamentale riflettere se l'inclusione del penale tributario nelle </w:t>
      </w:r>
      <w:r w:rsidR="002754A6" w:rsidRPr="00D850CC">
        <w:rPr>
          <w:b/>
          <w:sz w:val="24"/>
          <w:szCs w:val="24"/>
        </w:rPr>
        <w:t>C</w:t>
      </w:r>
      <w:r w:rsidR="0088326A" w:rsidRPr="00D850CC">
        <w:rPr>
          <w:b/>
          <w:sz w:val="24"/>
          <w:szCs w:val="24"/>
        </w:rPr>
        <w:t>orti di giustizia tributari</w:t>
      </w:r>
      <w:r w:rsidR="002754A6" w:rsidRPr="00D850CC">
        <w:rPr>
          <w:b/>
          <w:sz w:val="24"/>
          <w:szCs w:val="24"/>
        </w:rPr>
        <w:t xml:space="preserve">a </w:t>
      </w:r>
      <w:r w:rsidR="0088326A" w:rsidRPr="00D850CC">
        <w:rPr>
          <w:b/>
          <w:sz w:val="24"/>
          <w:szCs w:val="24"/>
        </w:rPr>
        <w:t>possa effettivamente condurre a</w:t>
      </w:r>
      <w:r w:rsidR="00F971B4" w:rsidRPr="00D850CC">
        <w:rPr>
          <w:b/>
          <w:sz w:val="24"/>
          <w:szCs w:val="24"/>
        </w:rPr>
        <w:t>d</w:t>
      </w:r>
      <w:r w:rsidR="0088326A" w:rsidRPr="00D850CC">
        <w:rPr>
          <w:b/>
          <w:sz w:val="24"/>
          <w:szCs w:val="24"/>
        </w:rPr>
        <w:t xml:space="preserve"> un sistema giuridico più equo e coerente. </w:t>
      </w:r>
    </w:p>
    <w:p w14:paraId="2E96CD0A" w14:textId="2ABDDC65" w:rsidR="00F308EE" w:rsidRPr="00D850CC" w:rsidRDefault="00095992" w:rsidP="00F308EE">
      <w:pPr>
        <w:spacing w:line="360" w:lineRule="auto"/>
        <w:contextualSpacing/>
        <w:jc w:val="both"/>
        <w:rPr>
          <w:b/>
          <w:bCs/>
          <w:sz w:val="24"/>
          <w:szCs w:val="24"/>
        </w:rPr>
      </w:pPr>
      <w:r w:rsidRPr="00D850CC">
        <w:rPr>
          <w:b/>
          <w:bCs/>
          <w:sz w:val="24"/>
          <w:szCs w:val="24"/>
        </w:rPr>
        <w:t xml:space="preserve">In conclusione, alla luce di tutto quanto sopra esposto e </w:t>
      </w:r>
      <w:r w:rsidR="00F971B4" w:rsidRPr="00D850CC">
        <w:rPr>
          <w:b/>
          <w:bCs/>
          <w:sz w:val="24"/>
          <w:szCs w:val="24"/>
        </w:rPr>
        <w:t>dimostrato</w:t>
      </w:r>
      <w:r w:rsidRPr="00D850CC">
        <w:rPr>
          <w:b/>
          <w:bCs/>
          <w:sz w:val="24"/>
          <w:szCs w:val="24"/>
        </w:rPr>
        <w:t>,</w:t>
      </w:r>
      <w:r w:rsidR="001C3CE4" w:rsidRPr="00D850CC">
        <w:rPr>
          <w:b/>
          <w:bCs/>
          <w:sz w:val="24"/>
          <w:szCs w:val="24"/>
        </w:rPr>
        <w:t xml:space="preserve"> </w:t>
      </w:r>
      <w:r w:rsidRPr="00D850CC">
        <w:rPr>
          <w:b/>
          <w:bCs/>
          <w:sz w:val="24"/>
          <w:szCs w:val="24"/>
        </w:rPr>
        <w:t xml:space="preserve">a parere dello scrivente, </w:t>
      </w:r>
      <w:r w:rsidRPr="00D850CC">
        <w:rPr>
          <w:b/>
          <w:bCs/>
          <w:i/>
          <w:iCs/>
          <w:sz w:val="24"/>
          <w:szCs w:val="24"/>
        </w:rPr>
        <w:t xml:space="preserve">de iure condendo, </w:t>
      </w:r>
      <w:r w:rsidRPr="00D850CC">
        <w:rPr>
          <w:b/>
          <w:bCs/>
          <w:sz w:val="24"/>
          <w:szCs w:val="24"/>
        </w:rPr>
        <w:t>l</w:t>
      </w:r>
      <w:r w:rsidR="00116920" w:rsidRPr="00D850CC">
        <w:rPr>
          <w:b/>
          <w:bCs/>
          <w:sz w:val="24"/>
          <w:szCs w:val="24"/>
        </w:rPr>
        <w:t>’auspicata legge delega</w:t>
      </w:r>
      <w:r w:rsidR="00040E44">
        <w:rPr>
          <w:b/>
          <w:bCs/>
          <w:sz w:val="24"/>
          <w:szCs w:val="24"/>
        </w:rPr>
        <w:t xml:space="preserve"> di riforma costituzionale</w:t>
      </w:r>
      <w:r w:rsidR="000727A9">
        <w:rPr>
          <w:b/>
          <w:bCs/>
          <w:sz w:val="24"/>
          <w:szCs w:val="24"/>
        </w:rPr>
        <w:t xml:space="preserve"> degli artt. 102, 103, 104 e 105</w:t>
      </w:r>
      <w:r w:rsidR="00335F6D" w:rsidRPr="00D850CC">
        <w:rPr>
          <w:b/>
          <w:bCs/>
          <w:sz w:val="24"/>
          <w:szCs w:val="24"/>
        </w:rPr>
        <w:t xml:space="preserve">, </w:t>
      </w:r>
      <w:r w:rsidR="0011142F">
        <w:rPr>
          <w:b/>
          <w:bCs/>
          <w:sz w:val="24"/>
          <w:szCs w:val="24"/>
        </w:rPr>
        <w:t xml:space="preserve">della Costituzione, </w:t>
      </w:r>
      <w:r w:rsidR="001C3CE4" w:rsidRPr="00D850CC">
        <w:rPr>
          <w:b/>
          <w:bCs/>
          <w:sz w:val="24"/>
          <w:szCs w:val="24"/>
        </w:rPr>
        <w:t>come principi ispiratori</w:t>
      </w:r>
      <w:r w:rsidR="00335F6D" w:rsidRPr="00D850CC">
        <w:rPr>
          <w:b/>
          <w:bCs/>
          <w:sz w:val="24"/>
          <w:szCs w:val="24"/>
        </w:rPr>
        <w:t xml:space="preserve">, </w:t>
      </w:r>
      <w:r w:rsidRPr="00D850CC">
        <w:rPr>
          <w:b/>
          <w:bCs/>
          <w:sz w:val="24"/>
          <w:szCs w:val="24"/>
        </w:rPr>
        <w:t>dovrebbe:</w:t>
      </w:r>
    </w:p>
    <w:p w14:paraId="002DCE04" w14:textId="48046526" w:rsidR="00095992" w:rsidRPr="00D850CC" w:rsidRDefault="00095992" w:rsidP="00095992">
      <w:pPr>
        <w:pStyle w:val="Paragrafoelenco"/>
        <w:numPr>
          <w:ilvl w:val="0"/>
          <w:numId w:val="22"/>
        </w:numPr>
        <w:spacing w:line="360" w:lineRule="auto"/>
        <w:jc w:val="both"/>
        <w:rPr>
          <w:b/>
          <w:bCs/>
          <w:sz w:val="24"/>
          <w:szCs w:val="24"/>
        </w:rPr>
      </w:pPr>
      <w:r w:rsidRPr="00D850CC">
        <w:rPr>
          <w:b/>
          <w:bCs/>
          <w:sz w:val="24"/>
          <w:szCs w:val="24"/>
        </w:rPr>
        <w:t>intanto, prevedere una legislazione chiara</w:t>
      </w:r>
      <w:r w:rsidR="00F971B4" w:rsidRPr="00D850CC">
        <w:rPr>
          <w:b/>
          <w:bCs/>
          <w:sz w:val="24"/>
          <w:szCs w:val="24"/>
        </w:rPr>
        <w:t xml:space="preserve">, </w:t>
      </w:r>
      <w:r w:rsidRPr="00D850CC">
        <w:rPr>
          <w:b/>
          <w:bCs/>
          <w:sz w:val="24"/>
          <w:szCs w:val="24"/>
        </w:rPr>
        <w:t>coerente</w:t>
      </w:r>
      <w:r w:rsidR="00F971B4" w:rsidRPr="00D850CC">
        <w:rPr>
          <w:b/>
          <w:bCs/>
          <w:sz w:val="24"/>
          <w:szCs w:val="24"/>
        </w:rPr>
        <w:t xml:space="preserve"> e meno confusionaria</w:t>
      </w:r>
      <w:r w:rsidRPr="00D850CC">
        <w:rPr>
          <w:b/>
          <w:bCs/>
          <w:sz w:val="24"/>
          <w:szCs w:val="24"/>
        </w:rPr>
        <w:t xml:space="preserve"> per evitare </w:t>
      </w:r>
      <w:r w:rsidR="00335F6D" w:rsidRPr="00D850CC">
        <w:rPr>
          <w:b/>
          <w:bCs/>
          <w:sz w:val="24"/>
          <w:szCs w:val="24"/>
        </w:rPr>
        <w:t xml:space="preserve">i citati </w:t>
      </w:r>
      <w:r w:rsidRPr="00D850CC">
        <w:rPr>
          <w:b/>
          <w:bCs/>
          <w:sz w:val="24"/>
          <w:szCs w:val="24"/>
        </w:rPr>
        <w:t>contrasti tra il penale ed il tributario;</w:t>
      </w:r>
    </w:p>
    <w:p w14:paraId="39892B04" w14:textId="1DBE3693" w:rsidR="00095992" w:rsidRPr="00D850CC" w:rsidRDefault="00095992" w:rsidP="00095992">
      <w:pPr>
        <w:pStyle w:val="Paragrafoelenco"/>
        <w:numPr>
          <w:ilvl w:val="0"/>
          <w:numId w:val="22"/>
        </w:numPr>
        <w:spacing w:line="360" w:lineRule="auto"/>
        <w:jc w:val="both"/>
        <w:rPr>
          <w:b/>
          <w:bCs/>
          <w:sz w:val="24"/>
          <w:szCs w:val="24"/>
        </w:rPr>
      </w:pPr>
      <w:r w:rsidRPr="00D850CC">
        <w:rPr>
          <w:b/>
          <w:bCs/>
          <w:sz w:val="24"/>
          <w:szCs w:val="24"/>
        </w:rPr>
        <w:t>affidare il</w:t>
      </w:r>
      <w:r w:rsidR="001C3CE4" w:rsidRPr="00D850CC">
        <w:rPr>
          <w:b/>
          <w:bCs/>
          <w:sz w:val="24"/>
          <w:szCs w:val="24"/>
        </w:rPr>
        <w:t xml:space="preserve"> </w:t>
      </w:r>
      <w:r w:rsidRPr="00D850CC">
        <w:rPr>
          <w:b/>
          <w:bCs/>
          <w:sz w:val="24"/>
          <w:szCs w:val="24"/>
        </w:rPr>
        <w:t>dibattimento penale dei</w:t>
      </w:r>
      <w:r w:rsidR="00F971B4" w:rsidRPr="00D850CC">
        <w:rPr>
          <w:b/>
          <w:bCs/>
          <w:sz w:val="24"/>
          <w:szCs w:val="24"/>
        </w:rPr>
        <w:t xml:space="preserve"> soli</w:t>
      </w:r>
      <w:r w:rsidRPr="00D850CC">
        <w:rPr>
          <w:b/>
          <w:bCs/>
          <w:sz w:val="24"/>
          <w:szCs w:val="24"/>
        </w:rPr>
        <w:t xml:space="preserve"> reati previsti dal Decreto Legislativo n. 74/2000</w:t>
      </w:r>
      <w:r w:rsidR="001C3CE4" w:rsidRPr="00D850CC">
        <w:rPr>
          <w:b/>
          <w:bCs/>
          <w:sz w:val="24"/>
          <w:szCs w:val="24"/>
        </w:rPr>
        <w:t xml:space="preserve"> </w:t>
      </w:r>
      <w:r w:rsidRPr="00D850CC">
        <w:rPr>
          <w:b/>
          <w:bCs/>
          <w:sz w:val="24"/>
          <w:szCs w:val="24"/>
        </w:rPr>
        <w:t>alle Corti di Giustizia Tributaria di Primo e Secondo Grado</w:t>
      </w:r>
      <w:r w:rsidR="00217C86" w:rsidRPr="00D850CC">
        <w:rPr>
          <w:b/>
          <w:bCs/>
          <w:sz w:val="24"/>
          <w:szCs w:val="24"/>
        </w:rPr>
        <w:t>, rispettando le norme del codice di procedura penale;</w:t>
      </w:r>
    </w:p>
    <w:p w14:paraId="45308FBA" w14:textId="5D68722D" w:rsidR="00217C86" w:rsidRPr="00D850CC" w:rsidRDefault="00115AFC" w:rsidP="00095992">
      <w:pPr>
        <w:pStyle w:val="Paragrafoelenco"/>
        <w:numPr>
          <w:ilvl w:val="0"/>
          <w:numId w:val="22"/>
        </w:numPr>
        <w:spacing w:line="360" w:lineRule="auto"/>
        <w:jc w:val="both"/>
        <w:rPr>
          <w:b/>
          <w:bCs/>
          <w:sz w:val="24"/>
          <w:szCs w:val="24"/>
        </w:rPr>
      </w:pPr>
      <w:r w:rsidRPr="00D850CC">
        <w:rPr>
          <w:b/>
          <w:bCs/>
          <w:sz w:val="24"/>
          <w:szCs w:val="24"/>
        </w:rPr>
        <w:t xml:space="preserve">prevedere che </w:t>
      </w:r>
      <w:r w:rsidR="001540CE" w:rsidRPr="00D850CC">
        <w:rPr>
          <w:b/>
          <w:bCs/>
          <w:sz w:val="24"/>
          <w:szCs w:val="24"/>
        </w:rPr>
        <w:t xml:space="preserve">il giudice monocratico e quello collegiale </w:t>
      </w:r>
      <w:r w:rsidRPr="00D850CC">
        <w:rPr>
          <w:b/>
          <w:bCs/>
          <w:sz w:val="24"/>
          <w:szCs w:val="24"/>
        </w:rPr>
        <w:t xml:space="preserve">siano </w:t>
      </w:r>
      <w:r w:rsidR="001540CE" w:rsidRPr="00D850CC">
        <w:rPr>
          <w:b/>
          <w:bCs/>
          <w:sz w:val="24"/>
          <w:szCs w:val="24"/>
        </w:rPr>
        <w:t xml:space="preserve">scelti </w:t>
      </w:r>
      <w:r w:rsidR="00F971B4" w:rsidRPr="00D850CC">
        <w:rPr>
          <w:b/>
          <w:bCs/>
          <w:sz w:val="24"/>
          <w:szCs w:val="24"/>
        </w:rPr>
        <w:t xml:space="preserve">soltanto </w:t>
      </w:r>
      <w:r w:rsidR="001540CE" w:rsidRPr="00D850CC">
        <w:rPr>
          <w:b/>
          <w:bCs/>
          <w:sz w:val="24"/>
          <w:szCs w:val="24"/>
        </w:rPr>
        <w:t xml:space="preserve">tra i magistrati tributari </w:t>
      </w:r>
      <w:r w:rsidR="00116920" w:rsidRPr="00D850CC">
        <w:rPr>
          <w:b/>
          <w:bCs/>
          <w:sz w:val="24"/>
          <w:szCs w:val="24"/>
        </w:rPr>
        <w:t>professional</w:t>
      </w:r>
      <w:r w:rsidR="00F971B4" w:rsidRPr="00D850CC">
        <w:rPr>
          <w:b/>
          <w:bCs/>
          <w:sz w:val="24"/>
          <w:szCs w:val="24"/>
        </w:rPr>
        <w:t>i</w:t>
      </w:r>
      <w:r w:rsidR="00116920" w:rsidRPr="00D850CC">
        <w:rPr>
          <w:b/>
          <w:bCs/>
          <w:sz w:val="24"/>
          <w:szCs w:val="24"/>
        </w:rPr>
        <w:t xml:space="preserve"> </w:t>
      </w:r>
      <w:r w:rsidR="001540CE" w:rsidRPr="00D850CC">
        <w:rPr>
          <w:b/>
          <w:bCs/>
          <w:sz w:val="24"/>
          <w:szCs w:val="24"/>
        </w:rPr>
        <w:t xml:space="preserve">a tempo pieno </w:t>
      </w:r>
      <w:r w:rsidR="00F971B4" w:rsidRPr="00D850CC">
        <w:rPr>
          <w:b/>
          <w:bCs/>
          <w:sz w:val="24"/>
          <w:szCs w:val="24"/>
        </w:rPr>
        <w:t>(</w:t>
      </w:r>
      <w:r w:rsidR="001540CE" w:rsidRPr="00D850CC">
        <w:rPr>
          <w:b/>
          <w:bCs/>
          <w:sz w:val="24"/>
          <w:szCs w:val="24"/>
        </w:rPr>
        <w:t xml:space="preserve">per opzione </w:t>
      </w:r>
      <w:r w:rsidR="00116920" w:rsidRPr="00D850CC">
        <w:rPr>
          <w:b/>
          <w:bCs/>
          <w:sz w:val="24"/>
          <w:szCs w:val="24"/>
        </w:rPr>
        <w:t xml:space="preserve">o </w:t>
      </w:r>
      <w:r w:rsidR="001540CE" w:rsidRPr="00D850CC">
        <w:rPr>
          <w:b/>
          <w:bCs/>
          <w:sz w:val="24"/>
          <w:szCs w:val="24"/>
        </w:rPr>
        <w:t>vincitori di pubblico concorso</w:t>
      </w:r>
      <w:r w:rsidR="00F971B4" w:rsidRPr="00D850CC">
        <w:rPr>
          <w:b/>
          <w:bCs/>
          <w:sz w:val="24"/>
          <w:szCs w:val="24"/>
        </w:rPr>
        <w:t>)</w:t>
      </w:r>
      <w:r w:rsidR="001540CE" w:rsidRPr="00D850CC">
        <w:rPr>
          <w:b/>
          <w:bCs/>
          <w:sz w:val="24"/>
          <w:szCs w:val="24"/>
        </w:rPr>
        <w:t>;</w:t>
      </w:r>
    </w:p>
    <w:p w14:paraId="5D2123C3" w14:textId="5D304563" w:rsidR="00F971B4" w:rsidRPr="00D850CC" w:rsidRDefault="00115AFC" w:rsidP="00F971B4">
      <w:pPr>
        <w:pStyle w:val="Paragrafoelenco"/>
        <w:numPr>
          <w:ilvl w:val="0"/>
          <w:numId w:val="22"/>
        </w:numPr>
        <w:spacing w:line="360" w:lineRule="auto"/>
        <w:jc w:val="both"/>
        <w:rPr>
          <w:b/>
          <w:bCs/>
          <w:sz w:val="24"/>
          <w:szCs w:val="24"/>
        </w:rPr>
      </w:pPr>
      <w:r w:rsidRPr="00D850CC">
        <w:rPr>
          <w:b/>
          <w:bCs/>
          <w:sz w:val="24"/>
          <w:szCs w:val="24"/>
        </w:rPr>
        <w:t xml:space="preserve">prevedere che </w:t>
      </w:r>
      <w:r w:rsidR="001540CE" w:rsidRPr="00D850CC">
        <w:rPr>
          <w:b/>
          <w:bCs/>
          <w:sz w:val="24"/>
          <w:szCs w:val="24"/>
        </w:rPr>
        <w:t xml:space="preserve">il processo tributario in primo grado </w:t>
      </w:r>
      <w:r w:rsidRPr="00D850CC">
        <w:rPr>
          <w:b/>
          <w:bCs/>
          <w:sz w:val="24"/>
          <w:szCs w:val="24"/>
        </w:rPr>
        <w:t>sia</w:t>
      </w:r>
      <w:r w:rsidR="001540CE" w:rsidRPr="00D850CC">
        <w:rPr>
          <w:b/>
          <w:bCs/>
          <w:sz w:val="24"/>
          <w:szCs w:val="24"/>
        </w:rPr>
        <w:t xml:space="preserve"> </w:t>
      </w:r>
      <w:r w:rsidR="001C3CE4" w:rsidRPr="00D850CC">
        <w:rPr>
          <w:b/>
          <w:bCs/>
          <w:sz w:val="24"/>
          <w:szCs w:val="24"/>
        </w:rPr>
        <w:t xml:space="preserve">sempre </w:t>
      </w:r>
      <w:r w:rsidR="001540CE" w:rsidRPr="00D850CC">
        <w:rPr>
          <w:b/>
          <w:bCs/>
          <w:sz w:val="24"/>
          <w:szCs w:val="24"/>
        </w:rPr>
        <w:t>sospeso</w:t>
      </w:r>
      <w:r w:rsidR="00116920" w:rsidRPr="00D850CC">
        <w:rPr>
          <w:b/>
          <w:bCs/>
          <w:sz w:val="24"/>
          <w:szCs w:val="24"/>
        </w:rPr>
        <w:t>, anche per la riscossione provvisoria,</w:t>
      </w:r>
      <w:r w:rsidR="001540CE" w:rsidRPr="00D850CC">
        <w:rPr>
          <w:b/>
          <w:bCs/>
          <w:sz w:val="24"/>
          <w:szCs w:val="24"/>
        </w:rPr>
        <w:t xml:space="preserve"> in attesa della </w:t>
      </w:r>
      <w:r w:rsidR="00335F6D" w:rsidRPr="00D850CC">
        <w:rPr>
          <w:b/>
          <w:bCs/>
          <w:sz w:val="24"/>
          <w:szCs w:val="24"/>
        </w:rPr>
        <w:t xml:space="preserve">sentenza </w:t>
      </w:r>
      <w:r w:rsidR="001540CE" w:rsidRPr="00D850CC">
        <w:rPr>
          <w:b/>
          <w:bCs/>
          <w:sz w:val="24"/>
          <w:szCs w:val="24"/>
        </w:rPr>
        <w:t>del giudizio penale</w:t>
      </w:r>
      <w:r w:rsidR="001C3CE4" w:rsidRPr="00D850CC">
        <w:rPr>
          <w:b/>
          <w:bCs/>
          <w:sz w:val="24"/>
          <w:szCs w:val="24"/>
        </w:rPr>
        <w:t xml:space="preserve">, anche se non passata in giudicato. </w:t>
      </w:r>
    </w:p>
    <w:p w14:paraId="1FE2CB39" w14:textId="205F20B3" w:rsidR="00F971B4" w:rsidRPr="00D850CC" w:rsidRDefault="00F971B4" w:rsidP="00F971B4">
      <w:pPr>
        <w:spacing w:line="360" w:lineRule="auto"/>
        <w:jc w:val="both"/>
        <w:rPr>
          <w:b/>
          <w:bCs/>
          <w:sz w:val="24"/>
          <w:szCs w:val="24"/>
        </w:rPr>
      </w:pPr>
      <w:r w:rsidRPr="00D850CC">
        <w:rPr>
          <w:b/>
          <w:bCs/>
          <w:sz w:val="24"/>
          <w:szCs w:val="24"/>
        </w:rPr>
        <w:t xml:space="preserve">Vorrei concludere questo mio articolo ricordando il pensiero del grande giurista Pietro Calamandrei a proposito del rapporto tra legge e popolo: </w:t>
      </w:r>
    </w:p>
    <w:p w14:paraId="7C764991" w14:textId="769104D9" w:rsidR="00F971B4" w:rsidRPr="00D850CC" w:rsidRDefault="00F971B4" w:rsidP="00DB3877">
      <w:pPr>
        <w:spacing w:line="360" w:lineRule="auto"/>
        <w:ind w:left="567" w:right="849"/>
        <w:jc w:val="both"/>
        <w:rPr>
          <w:b/>
          <w:bCs/>
          <w:i/>
          <w:sz w:val="24"/>
          <w:szCs w:val="24"/>
        </w:rPr>
      </w:pPr>
      <w:r w:rsidRPr="00D850CC">
        <w:rPr>
          <w:b/>
          <w:bCs/>
          <w:i/>
          <w:sz w:val="24"/>
          <w:szCs w:val="24"/>
        </w:rPr>
        <w:t>“</w:t>
      </w:r>
      <w:r w:rsidR="00DB3877" w:rsidRPr="00D850CC">
        <w:rPr>
          <w:b/>
          <w:bCs/>
          <w:i/>
          <w:sz w:val="24"/>
          <w:szCs w:val="24"/>
        </w:rPr>
        <w:t xml:space="preserve">leggi dello Stato che il popolo senta come le sue leggi, come scaturite dalla sua coscienza, non come imposte dall’altro. </w:t>
      </w:r>
      <w:proofErr w:type="spellStart"/>
      <w:r w:rsidR="000727A9">
        <w:rPr>
          <w:b/>
          <w:bCs/>
          <w:i/>
          <w:sz w:val="24"/>
          <w:szCs w:val="24"/>
        </w:rPr>
        <w:t>Affinchè</w:t>
      </w:r>
      <w:proofErr w:type="spellEnd"/>
      <w:r w:rsidR="000727A9">
        <w:rPr>
          <w:b/>
          <w:bCs/>
          <w:i/>
          <w:sz w:val="24"/>
          <w:szCs w:val="24"/>
        </w:rPr>
        <w:t xml:space="preserve"> </w:t>
      </w:r>
      <w:r w:rsidR="00DB3877" w:rsidRPr="00D850CC">
        <w:rPr>
          <w:b/>
          <w:bCs/>
          <w:i/>
          <w:sz w:val="24"/>
          <w:szCs w:val="24"/>
        </w:rPr>
        <w:t>la legalità discenda dai codici del costume bisogna che le leggi vengano dal di dentro non dal di fuori: le leggi che il popolo rispetta perché esso stesso le ha volute così</w:t>
      </w:r>
      <w:r w:rsidR="0011142F">
        <w:rPr>
          <w:b/>
          <w:bCs/>
          <w:i/>
          <w:sz w:val="24"/>
          <w:szCs w:val="24"/>
        </w:rPr>
        <w:t>.</w:t>
      </w:r>
      <w:r w:rsidR="00DB3877" w:rsidRPr="00D850CC">
        <w:rPr>
          <w:b/>
          <w:bCs/>
          <w:i/>
          <w:sz w:val="24"/>
          <w:szCs w:val="24"/>
        </w:rPr>
        <w:t>”</w:t>
      </w:r>
    </w:p>
    <w:p w14:paraId="0221E8F7" w14:textId="440ED674" w:rsidR="00F971B4" w:rsidRPr="00D850CC" w:rsidRDefault="00DB3877" w:rsidP="00040E44">
      <w:pPr>
        <w:spacing w:line="360" w:lineRule="auto"/>
        <w:jc w:val="both"/>
        <w:rPr>
          <w:b/>
          <w:bCs/>
          <w:sz w:val="24"/>
          <w:szCs w:val="24"/>
        </w:rPr>
      </w:pPr>
      <w:r w:rsidRPr="00D850CC">
        <w:rPr>
          <w:b/>
          <w:bCs/>
          <w:sz w:val="24"/>
          <w:szCs w:val="24"/>
        </w:rPr>
        <w:t xml:space="preserve">Per la suddetta </w:t>
      </w:r>
      <w:r w:rsidR="00040E44">
        <w:rPr>
          <w:b/>
          <w:bCs/>
          <w:sz w:val="24"/>
          <w:szCs w:val="24"/>
        </w:rPr>
        <w:t xml:space="preserve">necessaria </w:t>
      </w:r>
      <w:r w:rsidRPr="00D850CC">
        <w:rPr>
          <w:b/>
          <w:bCs/>
          <w:sz w:val="24"/>
          <w:szCs w:val="24"/>
        </w:rPr>
        <w:t>modifica legislativa è importante non dover aspettare altri 160 anni !!!</w:t>
      </w:r>
    </w:p>
    <w:p w14:paraId="7E96EF3C" w14:textId="77777777" w:rsidR="00040E44" w:rsidRDefault="00040E44" w:rsidP="00544B1B">
      <w:pPr>
        <w:spacing w:line="360" w:lineRule="auto"/>
        <w:ind w:right="-1"/>
        <w:contextualSpacing/>
        <w:rPr>
          <w:b/>
          <w:bCs/>
          <w:sz w:val="24"/>
          <w:szCs w:val="24"/>
          <w:highlight w:val="yellow"/>
        </w:rPr>
      </w:pPr>
    </w:p>
    <w:p w14:paraId="5F0B710B" w14:textId="0845F364" w:rsidR="00544B1B" w:rsidRPr="00D850CC" w:rsidRDefault="00544B1B" w:rsidP="00544B1B">
      <w:pPr>
        <w:spacing w:line="360" w:lineRule="auto"/>
        <w:ind w:right="-1"/>
        <w:contextualSpacing/>
        <w:rPr>
          <w:b/>
          <w:bCs/>
          <w:sz w:val="24"/>
          <w:szCs w:val="24"/>
        </w:rPr>
      </w:pPr>
      <w:r w:rsidRPr="00A01DB9">
        <w:rPr>
          <w:b/>
          <w:bCs/>
          <w:sz w:val="24"/>
          <w:szCs w:val="24"/>
        </w:rPr>
        <w:t xml:space="preserve">Lecce, </w:t>
      </w:r>
      <w:r w:rsidR="00335F6D" w:rsidRPr="00A01DB9">
        <w:rPr>
          <w:b/>
          <w:bCs/>
          <w:sz w:val="24"/>
          <w:szCs w:val="24"/>
        </w:rPr>
        <w:t>07</w:t>
      </w:r>
      <w:r w:rsidRPr="00A01DB9">
        <w:rPr>
          <w:b/>
          <w:bCs/>
          <w:sz w:val="24"/>
          <w:szCs w:val="24"/>
        </w:rPr>
        <w:t xml:space="preserve"> gennaio 2025</w:t>
      </w:r>
      <w:r w:rsidRPr="00D850CC">
        <w:rPr>
          <w:b/>
          <w:bCs/>
          <w:sz w:val="24"/>
          <w:szCs w:val="24"/>
        </w:rPr>
        <w:t xml:space="preserve">                                                                                                 Avv. Maurizio Villani</w:t>
      </w:r>
    </w:p>
    <w:p w14:paraId="3425990E" w14:textId="7FD21E98" w:rsidR="00DB3877" w:rsidRDefault="00DB3877" w:rsidP="00040E44">
      <w:pPr>
        <w:spacing w:line="360" w:lineRule="auto"/>
        <w:ind w:right="-1"/>
        <w:contextualSpacing/>
        <w:rPr>
          <w:b/>
          <w:bCs/>
          <w:sz w:val="24"/>
          <w:szCs w:val="24"/>
          <w:highlight w:val="yellow"/>
        </w:rPr>
      </w:pPr>
    </w:p>
    <w:p w14:paraId="3AECB2F7" w14:textId="77777777" w:rsidR="00040E44" w:rsidRPr="00544B1B" w:rsidRDefault="00040E44" w:rsidP="00040E44">
      <w:pPr>
        <w:spacing w:line="360" w:lineRule="auto"/>
        <w:ind w:right="-1"/>
        <w:contextualSpacing/>
        <w:rPr>
          <w:b/>
          <w:bCs/>
          <w:sz w:val="24"/>
          <w:szCs w:val="24"/>
          <w:highlight w:val="yellow"/>
        </w:rPr>
      </w:pPr>
    </w:p>
    <w:p w14:paraId="79576C87" w14:textId="77777777" w:rsidR="00544B1B" w:rsidRPr="00544B1B" w:rsidRDefault="00544B1B" w:rsidP="00040E44">
      <w:pPr>
        <w:spacing w:line="276" w:lineRule="auto"/>
        <w:ind w:right="-1"/>
        <w:contextualSpacing/>
        <w:jc w:val="center"/>
        <w:rPr>
          <w:b/>
          <w:bCs/>
          <w:i/>
          <w:iCs/>
          <w:sz w:val="24"/>
          <w:szCs w:val="24"/>
        </w:rPr>
      </w:pPr>
      <w:r w:rsidRPr="00544B1B">
        <w:rPr>
          <w:b/>
          <w:bCs/>
          <w:i/>
          <w:iCs/>
          <w:sz w:val="24"/>
          <w:szCs w:val="24"/>
        </w:rPr>
        <w:t>Studio Tributario Villani</w:t>
      </w:r>
    </w:p>
    <w:p w14:paraId="29EB82F0" w14:textId="77777777" w:rsidR="00544B1B" w:rsidRPr="00544B1B" w:rsidRDefault="00544B1B" w:rsidP="00040E44">
      <w:pPr>
        <w:spacing w:line="276" w:lineRule="auto"/>
        <w:ind w:right="-1"/>
        <w:contextualSpacing/>
        <w:jc w:val="center"/>
        <w:rPr>
          <w:b/>
          <w:bCs/>
          <w:i/>
          <w:iCs/>
          <w:sz w:val="24"/>
          <w:szCs w:val="24"/>
        </w:rPr>
      </w:pPr>
      <w:r w:rsidRPr="00544B1B">
        <w:rPr>
          <w:b/>
          <w:bCs/>
          <w:i/>
          <w:iCs/>
          <w:sz w:val="24"/>
          <w:szCs w:val="24"/>
        </w:rPr>
        <w:t>www.studiotributariovillani.it</w:t>
      </w:r>
    </w:p>
    <w:p w14:paraId="4B0AE975" w14:textId="77777777" w:rsidR="00544B1B" w:rsidRPr="00544B1B" w:rsidRDefault="00544B1B" w:rsidP="00040E44">
      <w:pPr>
        <w:spacing w:line="276" w:lineRule="auto"/>
        <w:ind w:right="-1"/>
        <w:contextualSpacing/>
        <w:jc w:val="center"/>
        <w:rPr>
          <w:b/>
          <w:bCs/>
          <w:i/>
          <w:iCs/>
          <w:sz w:val="24"/>
          <w:szCs w:val="24"/>
        </w:rPr>
      </w:pPr>
      <w:r w:rsidRPr="00544B1B">
        <w:rPr>
          <w:b/>
          <w:bCs/>
          <w:i/>
          <w:iCs/>
          <w:sz w:val="24"/>
          <w:szCs w:val="24"/>
        </w:rPr>
        <w:t xml:space="preserve">E-mail: </w:t>
      </w:r>
      <w:hyperlink r:id="rId25" w:history="1">
        <w:r w:rsidRPr="00544B1B">
          <w:rPr>
            <w:rStyle w:val="Collegamentoipertestuale"/>
            <w:b/>
            <w:bCs/>
            <w:i/>
            <w:iCs/>
            <w:color w:val="auto"/>
            <w:sz w:val="24"/>
            <w:szCs w:val="24"/>
            <w:u w:val="none"/>
          </w:rPr>
          <w:t>avvocato@studiotributariovillani.it</w:t>
        </w:r>
      </w:hyperlink>
    </w:p>
    <w:p w14:paraId="21E36D13" w14:textId="22F2C5D2" w:rsidR="005A1084" w:rsidRPr="00D647C3" w:rsidRDefault="00544B1B" w:rsidP="00040E44">
      <w:pPr>
        <w:spacing w:line="276" w:lineRule="auto"/>
        <w:ind w:right="-1"/>
        <w:contextualSpacing/>
        <w:jc w:val="center"/>
        <w:rPr>
          <w:b/>
          <w:bCs/>
          <w:i/>
          <w:iCs/>
          <w:sz w:val="24"/>
          <w:szCs w:val="24"/>
          <w:lang w:val="fr-FR"/>
        </w:rPr>
      </w:pPr>
      <w:r w:rsidRPr="00544B1B">
        <w:rPr>
          <w:b/>
          <w:bCs/>
          <w:i/>
          <w:iCs/>
          <w:sz w:val="24"/>
          <w:szCs w:val="24"/>
          <w:lang w:val="fr-FR"/>
        </w:rPr>
        <w:t xml:space="preserve">P.E.C. </w:t>
      </w:r>
      <w:hyperlink r:id="rId26" w:history="1">
        <w:r w:rsidRPr="00544B1B">
          <w:rPr>
            <w:rStyle w:val="Collegamentoipertestuale"/>
            <w:b/>
            <w:bCs/>
            <w:i/>
            <w:iCs/>
            <w:color w:val="auto"/>
            <w:sz w:val="24"/>
            <w:szCs w:val="24"/>
            <w:u w:val="none"/>
            <w:lang w:val="fr-FR"/>
          </w:rPr>
          <w:t>avv.maurizio.villani@pec.studiotributariovillani.it</w:t>
        </w:r>
      </w:hyperlink>
    </w:p>
    <w:sectPr w:rsidR="005A1084" w:rsidRPr="00D647C3" w:rsidSect="00A82345">
      <w:footerReference w:type="default" r:id="rId27"/>
      <w:pgSz w:w="11906" w:h="16838"/>
      <w:pgMar w:top="1134" w:right="1134" w:bottom="1134" w:left="1134" w:header="708"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1043" w14:textId="77777777" w:rsidR="00EC1F0C" w:rsidRDefault="00EC1F0C" w:rsidP="004D1C21">
      <w:pPr>
        <w:spacing w:after="0" w:line="240" w:lineRule="auto"/>
      </w:pPr>
      <w:r>
        <w:separator/>
      </w:r>
    </w:p>
  </w:endnote>
  <w:endnote w:type="continuationSeparator" w:id="0">
    <w:p w14:paraId="41AF07F3" w14:textId="77777777" w:rsidR="00EC1F0C" w:rsidRDefault="00EC1F0C" w:rsidP="004D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812258"/>
      <w:docPartObj>
        <w:docPartGallery w:val="Page Numbers (Bottom of Page)"/>
        <w:docPartUnique/>
      </w:docPartObj>
    </w:sdtPr>
    <w:sdtEndPr/>
    <w:sdtContent>
      <w:p w14:paraId="74C57934" w14:textId="47CAEE58" w:rsidR="00DD34A4" w:rsidRDefault="00DD34A4">
        <w:pPr>
          <w:pStyle w:val="Pidipagina"/>
          <w:jc w:val="right"/>
        </w:pPr>
        <w:r>
          <w:fldChar w:fldCharType="begin"/>
        </w:r>
        <w:r>
          <w:instrText>PAGE   \* MERGEFORMAT</w:instrText>
        </w:r>
        <w:r>
          <w:fldChar w:fldCharType="separate"/>
        </w:r>
        <w:r>
          <w:t>2</w:t>
        </w:r>
        <w:r>
          <w:fldChar w:fldCharType="end"/>
        </w:r>
      </w:p>
    </w:sdtContent>
  </w:sdt>
  <w:p w14:paraId="05CC8B6B" w14:textId="77777777" w:rsidR="00DD34A4" w:rsidRDefault="00DD34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7192" w14:textId="77777777" w:rsidR="00EC1F0C" w:rsidRDefault="00EC1F0C" w:rsidP="004D1C21">
      <w:pPr>
        <w:spacing w:after="0" w:line="240" w:lineRule="auto"/>
      </w:pPr>
      <w:r>
        <w:separator/>
      </w:r>
    </w:p>
  </w:footnote>
  <w:footnote w:type="continuationSeparator" w:id="0">
    <w:p w14:paraId="2BCB910D" w14:textId="77777777" w:rsidR="00EC1F0C" w:rsidRDefault="00EC1F0C" w:rsidP="004D1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23"/>
    <w:multiLevelType w:val="hybridMultilevel"/>
    <w:tmpl w:val="A94EA752"/>
    <w:lvl w:ilvl="0" w:tplc="72EC627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CE320F"/>
    <w:multiLevelType w:val="hybridMultilevel"/>
    <w:tmpl w:val="31E69D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91EC5"/>
    <w:multiLevelType w:val="hybridMultilevel"/>
    <w:tmpl w:val="FADC6610"/>
    <w:lvl w:ilvl="0" w:tplc="0410000B">
      <w:start w:val="1"/>
      <w:numFmt w:val="bullet"/>
      <w:lvlText w:val=""/>
      <w:lvlJc w:val="left"/>
      <w:pPr>
        <w:ind w:left="720" w:hanging="360"/>
      </w:pPr>
      <w:rPr>
        <w:rFonts w:ascii="Wingdings" w:hAnsi="Wingding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EE77BC"/>
    <w:multiLevelType w:val="hybridMultilevel"/>
    <w:tmpl w:val="DE82D2E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D4D23"/>
    <w:multiLevelType w:val="hybridMultilevel"/>
    <w:tmpl w:val="A81CC818"/>
    <w:lvl w:ilvl="0" w:tplc="04100017">
      <w:start w:val="1"/>
      <w:numFmt w:val="lowerLetter"/>
      <w:lvlText w:val="%1)"/>
      <w:lvlJc w:val="left"/>
      <w:pPr>
        <w:ind w:left="720" w:hanging="360"/>
      </w:pPr>
      <w:rPr>
        <w:b/>
        <w:bCs/>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CD3934"/>
    <w:multiLevelType w:val="hybridMultilevel"/>
    <w:tmpl w:val="599A023C"/>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6" w15:restartNumberingAfterBreak="0">
    <w:nsid w:val="13B13471"/>
    <w:multiLevelType w:val="hybridMultilevel"/>
    <w:tmpl w:val="0EFC4B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F2800FF"/>
    <w:multiLevelType w:val="hybridMultilevel"/>
    <w:tmpl w:val="C3FAEF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505BC"/>
    <w:multiLevelType w:val="hybridMultilevel"/>
    <w:tmpl w:val="812005F0"/>
    <w:lvl w:ilvl="0" w:tplc="D0667FAE">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793277"/>
    <w:multiLevelType w:val="hybridMultilevel"/>
    <w:tmpl w:val="73AE4A78"/>
    <w:lvl w:ilvl="0" w:tplc="53AAFC6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BC204A"/>
    <w:multiLevelType w:val="hybridMultilevel"/>
    <w:tmpl w:val="8DCC3BA6"/>
    <w:lvl w:ilvl="0" w:tplc="FFFFFFFF">
      <w:start w:val="1"/>
      <w:numFmt w:val="upp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2C750C"/>
    <w:multiLevelType w:val="hybridMultilevel"/>
    <w:tmpl w:val="4B5EA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EE5F79"/>
    <w:multiLevelType w:val="hybridMultilevel"/>
    <w:tmpl w:val="AA3EAE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BE961D7"/>
    <w:multiLevelType w:val="hybridMultilevel"/>
    <w:tmpl w:val="4814850E"/>
    <w:lvl w:ilvl="0" w:tplc="D0C0E8F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A83461"/>
    <w:multiLevelType w:val="hybridMultilevel"/>
    <w:tmpl w:val="717657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A97024"/>
    <w:multiLevelType w:val="hybridMultilevel"/>
    <w:tmpl w:val="EA44D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A8648D"/>
    <w:multiLevelType w:val="hybridMultilevel"/>
    <w:tmpl w:val="4CACCC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8504A1"/>
    <w:multiLevelType w:val="hybridMultilevel"/>
    <w:tmpl w:val="047A1A08"/>
    <w:lvl w:ilvl="0" w:tplc="4E36CE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DC13D1"/>
    <w:multiLevelType w:val="hybridMultilevel"/>
    <w:tmpl w:val="CF72C3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5F3F5F"/>
    <w:multiLevelType w:val="hybridMultilevel"/>
    <w:tmpl w:val="B97EC9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0C4543"/>
    <w:multiLevelType w:val="hybridMultilevel"/>
    <w:tmpl w:val="812005F0"/>
    <w:lvl w:ilvl="0" w:tplc="FFFFFFFF">
      <w:start w:val="1"/>
      <w:numFmt w:val="upp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815478"/>
    <w:multiLevelType w:val="hybridMultilevel"/>
    <w:tmpl w:val="0E22A8D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F91C22"/>
    <w:multiLevelType w:val="hybridMultilevel"/>
    <w:tmpl w:val="D828F6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615AA8"/>
    <w:multiLevelType w:val="hybridMultilevel"/>
    <w:tmpl w:val="DA823A4E"/>
    <w:lvl w:ilvl="0" w:tplc="55E46B54">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7"/>
  </w:num>
  <w:num w:numId="4">
    <w:abstractNumId w:val="1"/>
  </w:num>
  <w:num w:numId="5">
    <w:abstractNumId w:val="8"/>
  </w:num>
  <w:num w:numId="6">
    <w:abstractNumId w:val="2"/>
  </w:num>
  <w:num w:numId="7">
    <w:abstractNumId w:val="11"/>
  </w:num>
  <w:num w:numId="8">
    <w:abstractNumId w:val="12"/>
  </w:num>
  <w:num w:numId="9">
    <w:abstractNumId w:val="10"/>
  </w:num>
  <w:num w:numId="10">
    <w:abstractNumId w:val="21"/>
  </w:num>
  <w:num w:numId="11">
    <w:abstractNumId w:val="3"/>
  </w:num>
  <w:num w:numId="12">
    <w:abstractNumId w:val="18"/>
  </w:num>
  <w:num w:numId="13">
    <w:abstractNumId w:val="9"/>
  </w:num>
  <w:num w:numId="14">
    <w:abstractNumId w:val="16"/>
  </w:num>
  <w:num w:numId="15">
    <w:abstractNumId w:val="20"/>
  </w:num>
  <w:num w:numId="16">
    <w:abstractNumId w:val="19"/>
  </w:num>
  <w:num w:numId="17">
    <w:abstractNumId w:val="0"/>
  </w:num>
  <w:num w:numId="18">
    <w:abstractNumId w:val="23"/>
  </w:num>
  <w:num w:numId="19">
    <w:abstractNumId w:val="7"/>
  </w:num>
  <w:num w:numId="20">
    <w:abstractNumId w:val="15"/>
  </w:num>
  <w:num w:numId="21">
    <w:abstractNumId w:val="5"/>
  </w:num>
  <w:num w:numId="22">
    <w:abstractNumId w:val="2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1"/>
    <w:rsid w:val="00013B54"/>
    <w:rsid w:val="00026F58"/>
    <w:rsid w:val="00034EF3"/>
    <w:rsid w:val="00040E44"/>
    <w:rsid w:val="00062D8B"/>
    <w:rsid w:val="000727A9"/>
    <w:rsid w:val="00076E83"/>
    <w:rsid w:val="00095992"/>
    <w:rsid w:val="000F2564"/>
    <w:rsid w:val="0011142F"/>
    <w:rsid w:val="00113A38"/>
    <w:rsid w:val="00115AFC"/>
    <w:rsid w:val="00116920"/>
    <w:rsid w:val="00116F5C"/>
    <w:rsid w:val="0013125A"/>
    <w:rsid w:val="00131D3F"/>
    <w:rsid w:val="00142762"/>
    <w:rsid w:val="00142DF9"/>
    <w:rsid w:val="001540CE"/>
    <w:rsid w:val="00163951"/>
    <w:rsid w:val="00176C91"/>
    <w:rsid w:val="00181407"/>
    <w:rsid w:val="001A6488"/>
    <w:rsid w:val="001C007B"/>
    <w:rsid w:val="001C3CE4"/>
    <w:rsid w:val="001D039C"/>
    <w:rsid w:val="001D1A17"/>
    <w:rsid w:val="001D7ED5"/>
    <w:rsid w:val="001F48D9"/>
    <w:rsid w:val="001F7A25"/>
    <w:rsid w:val="00201493"/>
    <w:rsid w:val="00216E54"/>
    <w:rsid w:val="00217C86"/>
    <w:rsid w:val="00224F7F"/>
    <w:rsid w:val="00241029"/>
    <w:rsid w:val="00241DC5"/>
    <w:rsid w:val="002625BC"/>
    <w:rsid w:val="00264864"/>
    <w:rsid w:val="00266FD4"/>
    <w:rsid w:val="002754A6"/>
    <w:rsid w:val="002872EF"/>
    <w:rsid w:val="002D3B18"/>
    <w:rsid w:val="002E140C"/>
    <w:rsid w:val="002E25FC"/>
    <w:rsid w:val="002E6182"/>
    <w:rsid w:val="00311A45"/>
    <w:rsid w:val="00327655"/>
    <w:rsid w:val="00331315"/>
    <w:rsid w:val="00335F6D"/>
    <w:rsid w:val="003420E4"/>
    <w:rsid w:val="00365019"/>
    <w:rsid w:val="00372235"/>
    <w:rsid w:val="003771D3"/>
    <w:rsid w:val="0039487B"/>
    <w:rsid w:val="003B05C3"/>
    <w:rsid w:val="003D2F65"/>
    <w:rsid w:val="003E3B95"/>
    <w:rsid w:val="00404015"/>
    <w:rsid w:val="00422FE8"/>
    <w:rsid w:val="00440EF7"/>
    <w:rsid w:val="004561BB"/>
    <w:rsid w:val="00457AA4"/>
    <w:rsid w:val="00461511"/>
    <w:rsid w:val="00485DDA"/>
    <w:rsid w:val="00492C20"/>
    <w:rsid w:val="004C16D7"/>
    <w:rsid w:val="004C6E6B"/>
    <w:rsid w:val="004D1C21"/>
    <w:rsid w:val="004D7014"/>
    <w:rsid w:val="004E3BEE"/>
    <w:rsid w:val="004F665F"/>
    <w:rsid w:val="00504021"/>
    <w:rsid w:val="00507CBD"/>
    <w:rsid w:val="00507D36"/>
    <w:rsid w:val="005335D8"/>
    <w:rsid w:val="00544B1B"/>
    <w:rsid w:val="005A1084"/>
    <w:rsid w:val="005B4D69"/>
    <w:rsid w:val="005C4C67"/>
    <w:rsid w:val="005C7AE7"/>
    <w:rsid w:val="005F09B1"/>
    <w:rsid w:val="005F46CC"/>
    <w:rsid w:val="005F595A"/>
    <w:rsid w:val="00621DDD"/>
    <w:rsid w:val="0062247C"/>
    <w:rsid w:val="00654F0A"/>
    <w:rsid w:val="0065614E"/>
    <w:rsid w:val="00665BC5"/>
    <w:rsid w:val="006918B4"/>
    <w:rsid w:val="006A7F44"/>
    <w:rsid w:val="006B3415"/>
    <w:rsid w:val="006C6D56"/>
    <w:rsid w:val="006D34B8"/>
    <w:rsid w:val="006F1F98"/>
    <w:rsid w:val="006F45C5"/>
    <w:rsid w:val="00703A61"/>
    <w:rsid w:val="00711BED"/>
    <w:rsid w:val="00717429"/>
    <w:rsid w:val="00726953"/>
    <w:rsid w:val="00736075"/>
    <w:rsid w:val="007557FE"/>
    <w:rsid w:val="00791CA4"/>
    <w:rsid w:val="007A1462"/>
    <w:rsid w:val="007B24E9"/>
    <w:rsid w:val="007B5E05"/>
    <w:rsid w:val="007D43F3"/>
    <w:rsid w:val="007D627B"/>
    <w:rsid w:val="007E3E53"/>
    <w:rsid w:val="007F2EFC"/>
    <w:rsid w:val="007F3130"/>
    <w:rsid w:val="00831E78"/>
    <w:rsid w:val="008401A4"/>
    <w:rsid w:val="0085529B"/>
    <w:rsid w:val="00865730"/>
    <w:rsid w:val="0088326A"/>
    <w:rsid w:val="00885A9F"/>
    <w:rsid w:val="008862F4"/>
    <w:rsid w:val="0089166C"/>
    <w:rsid w:val="008B4EDF"/>
    <w:rsid w:val="008E130C"/>
    <w:rsid w:val="008F1152"/>
    <w:rsid w:val="008F6BAA"/>
    <w:rsid w:val="0093182E"/>
    <w:rsid w:val="00934787"/>
    <w:rsid w:val="00946975"/>
    <w:rsid w:val="00977D1E"/>
    <w:rsid w:val="00981411"/>
    <w:rsid w:val="00996C11"/>
    <w:rsid w:val="009A1E4E"/>
    <w:rsid w:val="009F3FF6"/>
    <w:rsid w:val="00A01DB9"/>
    <w:rsid w:val="00A172EE"/>
    <w:rsid w:val="00A174F9"/>
    <w:rsid w:val="00A44822"/>
    <w:rsid w:val="00A557F1"/>
    <w:rsid w:val="00A65DB5"/>
    <w:rsid w:val="00A66FB1"/>
    <w:rsid w:val="00A76EFE"/>
    <w:rsid w:val="00A81682"/>
    <w:rsid w:val="00A82345"/>
    <w:rsid w:val="00AD4624"/>
    <w:rsid w:val="00AF510C"/>
    <w:rsid w:val="00AF5743"/>
    <w:rsid w:val="00B03883"/>
    <w:rsid w:val="00B14B18"/>
    <w:rsid w:val="00BB1B83"/>
    <w:rsid w:val="00BE0350"/>
    <w:rsid w:val="00BE4079"/>
    <w:rsid w:val="00BE7E5B"/>
    <w:rsid w:val="00C0705A"/>
    <w:rsid w:val="00C326E2"/>
    <w:rsid w:val="00C32729"/>
    <w:rsid w:val="00C4458A"/>
    <w:rsid w:val="00C47D19"/>
    <w:rsid w:val="00C82180"/>
    <w:rsid w:val="00C84044"/>
    <w:rsid w:val="00C86805"/>
    <w:rsid w:val="00CA2751"/>
    <w:rsid w:val="00CE2C7D"/>
    <w:rsid w:val="00CF44B6"/>
    <w:rsid w:val="00D26F77"/>
    <w:rsid w:val="00D33AEC"/>
    <w:rsid w:val="00D44BD1"/>
    <w:rsid w:val="00D4628A"/>
    <w:rsid w:val="00D53091"/>
    <w:rsid w:val="00D647C3"/>
    <w:rsid w:val="00D74D83"/>
    <w:rsid w:val="00D850CC"/>
    <w:rsid w:val="00D9029F"/>
    <w:rsid w:val="00D95714"/>
    <w:rsid w:val="00DA0836"/>
    <w:rsid w:val="00DB0363"/>
    <w:rsid w:val="00DB3877"/>
    <w:rsid w:val="00DC280C"/>
    <w:rsid w:val="00DD34A4"/>
    <w:rsid w:val="00E07193"/>
    <w:rsid w:val="00E16D59"/>
    <w:rsid w:val="00E441BC"/>
    <w:rsid w:val="00E51A10"/>
    <w:rsid w:val="00E546A9"/>
    <w:rsid w:val="00E54B39"/>
    <w:rsid w:val="00E72CD8"/>
    <w:rsid w:val="00E83A86"/>
    <w:rsid w:val="00E8704D"/>
    <w:rsid w:val="00E96397"/>
    <w:rsid w:val="00EB55E4"/>
    <w:rsid w:val="00EC1F0C"/>
    <w:rsid w:val="00EF2168"/>
    <w:rsid w:val="00F11F37"/>
    <w:rsid w:val="00F12F13"/>
    <w:rsid w:val="00F200C3"/>
    <w:rsid w:val="00F308EE"/>
    <w:rsid w:val="00F63264"/>
    <w:rsid w:val="00F863B7"/>
    <w:rsid w:val="00F971B4"/>
    <w:rsid w:val="00FB2418"/>
    <w:rsid w:val="00FC37A3"/>
    <w:rsid w:val="00FF0077"/>
    <w:rsid w:val="00FF0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B8290"/>
  <w15:chartTrackingRefBased/>
  <w15:docId w15:val="{297DDBB3-3821-4DB8-92DB-54DD76BE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C7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C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C21"/>
  </w:style>
  <w:style w:type="paragraph" w:styleId="Pidipagina">
    <w:name w:val="footer"/>
    <w:basedOn w:val="Normale"/>
    <w:link w:val="PidipaginaCarattere"/>
    <w:uiPriority w:val="99"/>
    <w:unhideWhenUsed/>
    <w:rsid w:val="004D1C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C21"/>
  </w:style>
  <w:style w:type="paragraph" w:styleId="NormaleWeb">
    <w:name w:val="Normal (Web)"/>
    <w:basedOn w:val="Normale"/>
    <w:uiPriority w:val="99"/>
    <w:semiHidden/>
    <w:unhideWhenUsed/>
    <w:rsid w:val="007A1462"/>
    <w:rPr>
      <w:rFonts w:ascii="Times New Roman" w:hAnsi="Times New Roman" w:cs="Times New Roman"/>
      <w:sz w:val="24"/>
      <w:szCs w:val="24"/>
    </w:rPr>
  </w:style>
  <w:style w:type="character" w:styleId="Collegamentoipertestuale">
    <w:name w:val="Hyperlink"/>
    <w:basedOn w:val="Carpredefinitoparagrafo"/>
    <w:uiPriority w:val="99"/>
    <w:unhideWhenUsed/>
    <w:rsid w:val="007A1462"/>
    <w:rPr>
      <w:color w:val="0563C1" w:themeColor="hyperlink"/>
      <w:u w:val="single"/>
    </w:rPr>
  </w:style>
  <w:style w:type="character" w:styleId="Menzionenonrisolta">
    <w:name w:val="Unresolved Mention"/>
    <w:basedOn w:val="Carpredefinitoparagrafo"/>
    <w:uiPriority w:val="99"/>
    <w:semiHidden/>
    <w:unhideWhenUsed/>
    <w:rsid w:val="007A1462"/>
    <w:rPr>
      <w:color w:val="605E5C"/>
      <w:shd w:val="clear" w:color="auto" w:fill="E1DFDD"/>
    </w:rPr>
  </w:style>
  <w:style w:type="paragraph" w:styleId="Paragrafoelenco">
    <w:name w:val="List Paragraph"/>
    <w:basedOn w:val="Normale"/>
    <w:uiPriority w:val="34"/>
    <w:qFormat/>
    <w:rsid w:val="0039487B"/>
    <w:pPr>
      <w:ind w:left="720"/>
      <w:contextualSpacing/>
    </w:pPr>
  </w:style>
  <w:style w:type="character" w:customStyle="1" w:styleId="Titolo1Carattere">
    <w:name w:val="Titolo 1 Carattere"/>
    <w:basedOn w:val="Carpredefinitoparagrafo"/>
    <w:link w:val="Titolo1"/>
    <w:uiPriority w:val="9"/>
    <w:rsid w:val="005C7AE7"/>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5C7AE7"/>
    <w:pPr>
      <w:outlineLvl w:val="9"/>
    </w:pPr>
    <w:rPr>
      <w:lang w:eastAsia="it-IT"/>
    </w:rPr>
  </w:style>
  <w:style w:type="paragraph" w:styleId="Sommario1">
    <w:name w:val="toc 1"/>
    <w:basedOn w:val="Normale"/>
    <w:next w:val="Normale"/>
    <w:autoRedefine/>
    <w:uiPriority w:val="39"/>
    <w:unhideWhenUsed/>
    <w:rsid w:val="00717429"/>
    <w:pPr>
      <w:tabs>
        <w:tab w:val="right" w:leader="dot" w:pos="9628"/>
      </w:tabs>
      <w:spacing w:after="100"/>
      <w:ind w:left="567" w:hanging="283"/>
    </w:pPr>
    <w:rPr>
      <w:b/>
      <w:bCs/>
      <w:noProof/>
    </w:rPr>
  </w:style>
  <w:style w:type="paragraph" w:styleId="Sommario2">
    <w:name w:val="toc 2"/>
    <w:basedOn w:val="Normale"/>
    <w:next w:val="Normale"/>
    <w:autoRedefine/>
    <w:uiPriority w:val="39"/>
    <w:unhideWhenUsed/>
    <w:rsid w:val="00461511"/>
    <w:pPr>
      <w:tabs>
        <w:tab w:val="left" w:pos="660"/>
        <w:tab w:val="right" w:leader="dot" w:pos="9628"/>
      </w:tabs>
      <w:spacing w:after="100"/>
      <w:ind w:left="709" w:hanging="425"/>
    </w:pPr>
  </w:style>
  <w:style w:type="paragraph" w:styleId="Testofumetto">
    <w:name w:val="Balloon Text"/>
    <w:basedOn w:val="Normale"/>
    <w:link w:val="TestofumettoCarattere"/>
    <w:uiPriority w:val="99"/>
    <w:semiHidden/>
    <w:unhideWhenUsed/>
    <w:rsid w:val="007557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5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24848139">
          <w:marLeft w:val="0"/>
          <w:marRight w:val="0"/>
          <w:marTop w:val="0"/>
          <w:marBottom w:val="0"/>
          <w:divBdr>
            <w:top w:val="none" w:sz="0" w:space="0" w:color="auto"/>
            <w:left w:val="none" w:sz="0" w:space="0" w:color="auto"/>
            <w:bottom w:val="none" w:sz="0" w:space="0" w:color="auto"/>
            <w:right w:val="none" w:sz="0" w:space="0" w:color="auto"/>
          </w:divBdr>
          <w:divsChild>
            <w:div w:id="2047481523">
              <w:marLeft w:val="0"/>
              <w:marRight w:val="0"/>
              <w:marTop w:val="0"/>
              <w:marBottom w:val="0"/>
              <w:divBdr>
                <w:top w:val="none" w:sz="0" w:space="0" w:color="auto"/>
                <w:left w:val="none" w:sz="0" w:space="0" w:color="auto"/>
                <w:bottom w:val="none" w:sz="0" w:space="0" w:color="auto"/>
                <w:right w:val="none" w:sz="0" w:space="0" w:color="auto"/>
              </w:divBdr>
            </w:div>
          </w:divsChild>
        </w:div>
        <w:div w:id="1244024434">
          <w:marLeft w:val="0"/>
          <w:marRight w:val="0"/>
          <w:marTop w:val="0"/>
          <w:marBottom w:val="0"/>
          <w:divBdr>
            <w:top w:val="none" w:sz="0" w:space="0" w:color="auto"/>
            <w:left w:val="none" w:sz="0" w:space="0" w:color="auto"/>
            <w:bottom w:val="none" w:sz="0" w:space="0" w:color="auto"/>
            <w:right w:val="none" w:sz="0" w:space="0" w:color="auto"/>
          </w:divBdr>
        </w:div>
        <w:div w:id="2063599951">
          <w:marLeft w:val="0"/>
          <w:marRight w:val="0"/>
          <w:marTop w:val="0"/>
          <w:marBottom w:val="0"/>
          <w:divBdr>
            <w:top w:val="none" w:sz="0" w:space="0" w:color="auto"/>
            <w:left w:val="none" w:sz="0" w:space="0" w:color="auto"/>
            <w:bottom w:val="none" w:sz="0" w:space="0" w:color="auto"/>
            <w:right w:val="none" w:sz="0" w:space="0" w:color="auto"/>
          </w:divBdr>
          <w:divsChild>
            <w:div w:id="1158380639">
              <w:marLeft w:val="0"/>
              <w:marRight w:val="0"/>
              <w:marTop w:val="0"/>
              <w:marBottom w:val="0"/>
              <w:divBdr>
                <w:top w:val="none" w:sz="0" w:space="0" w:color="auto"/>
                <w:left w:val="none" w:sz="0" w:space="0" w:color="auto"/>
                <w:bottom w:val="none" w:sz="0" w:space="0" w:color="auto"/>
                <w:right w:val="none" w:sz="0" w:space="0" w:color="auto"/>
              </w:divBdr>
              <w:divsChild>
                <w:div w:id="363949672">
                  <w:marLeft w:val="0"/>
                  <w:marRight w:val="0"/>
                  <w:marTop w:val="0"/>
                  <w:marBottom w:val="0"/>
                  <w:divBdr>
                    <w:top w:val="none" w:sz="0" w:space="0" w:color="auto"/>
                    <w:left w:val="none" w:sz="0" w:space="0" w:color="auto"/>
                    <w:bottom w:val="none" w:sz="0" w:space="0" w:color="auto"/>
                    <w:right w:val="none" w:sz="0" w:space="0" w:color="auto"/>
                  </w:divBdr>
                  <w:divsChild>
                    <w:div w:id="567228857">
                      <w:marLeft w:val="0"/>
                      <w:marRight w:val="0"/>
                      <w:marTop w:val="0"/>
                      <w:marBottom w:val="0"/>
                      <w:divBdr>
                        <w:top w:val="none" w:sz="0" w:space="0" w:color="auto"/>
                        <w:left w:val="none" w:sz="0" w:space="0" w:color="auto"/>
                        <w:bottom w:val="none" w:sz="0" w:space="0" w:color="auto"/>
                        <w:right w:val="none" w:sz="0" w:space="0" w:color="auto"/>
                      </w:divBdr>
                      <w:divsChild>
                        <w:div w:id="1718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69014">
      <w:bodyDiv w:val="1"/>
      <w:marLeft w:val="0"/>
      <w:marRight w:val="0"/>
      <w:marTop w:val="0"/>
      <w:marBottom w:val="0"/>
      <w:divBdr>
        <w:top w:val="none" w:sz="0" w:space="0" w:color="auto"/>
        <w:left w:val="none" w:sz="0" w:space="0" w:color="auto"/>
        <w:bottom w:val="none" w:sz="0" w:space="0" w:color="auto"/>
        <w:right w:val="none" w:sz="0" w:space="0" w:color="auto"/>
      </w:divBdr>
    </w:div>
    <w:div w:id="845631819">
      <w:bodyDiv w:val="1"/>
      <w:marLeft w:val="0"/>
      <w:marRight w:val="0"/>
      <w:marTop w:val="0"/>
      <w:marBottom w:val="0"/>
      <w:divBdr>
        <w:top w:val="none" w:sz="0" w:space="0" w:color="auto"/>
        <w:left w:val="none" w:sz="0" w:space="0" w:color="auto"/>
        <w:bottom w:val="none" w:sz="0" w:space="0" w:color="auto"/>
        <w:right w:val="none" w:sz="0" w:space="0" w:color="auto"/>
      </w:divBdr>
    </w:div>
    <w:div w:id="1251431500">
      <w:bodyDiv w:val="1"/>
      <w:marLeft w:val="0"/>
      <w:marRight w:val="0"/>
      <w:marTop w:val="0"/>
      <w:marBottom w:val="0"/>
      <w:divBdr>
        <w:top w:val="none" w:sz="0" w:space="0" w:color="auto"/>
        <w:left w:val="none" w:sz="0" w:space="0" w:color="auto"/>
        <w:bottom w:val="none" w:sz="0" w:space="0" w:color="auto"/>
        <w:right w:val="none" w:sz="0" w:space="0" w:color="auto"/>
      </w:divBdr>
      <w:divsChild>
        <w:div w:id="354187614">
          <w:marLeft w:val="0"/>
          <w:marRight w:val="0"/>
          <w:marTop w:val="0"/>
          <w:marBottom w:val="0"/>
          <w:divBdr>
            <w:top w:val="none" w:sz="0" w:space="0" w:color="auto"/>
            <w:left w:val="none" w:sz="0" w:space="0" w:color="auto"/>
            <w:bottom w:val="none" w:sz="0" w:space="0" w:color="auto"/>
            <w:right w:val="none" w:sz="0" w:space="0" w:color="auto"/>
          </w:divBdr>
          <w:divsChild>
            <w:div w:id="1637367326">
              <w:marLeft w:val="0"/>
              <w:marRight w:val="0"/>
              <w:marTop w:val="0"/>
              <w:marBottom w:val="0"/>
              <w:divBdr>
                <w:top w:val="none" w:sz="0" w:space="0" w:color="auto"/>
                <w:left w:val="none" w:sz="0" w:space="0" w:color="auto"/>
                <w:bottom w:val="none" w:sz="0" w:space="0" w:color="auto"/>
                <w:right w:val="none" w:sz="0" w:space="0" w:color="auto"/>
              </w:divBdr>
              <w:divsChild>
                <w:div w:id="975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592">
          <w:marLeft w:val="0"/>
          <w:marRight w:val="0"/>
          <w:marTop w:val="0"/>
          <w:marBottom w:val="0"/>
          <w:divBdr>
            <w:top w:val="none" w:sz="0" w:space="0" w:color="auto"/>
            <w:left w:val="none" w:sz="0" w:space="0" w:color="auto"/>
            <w:bottom w:val="none" w:sz="0" w:space="0" w:color="auto"/>
            <w:right w:val="none" w:sz="0" w:space="0" w:color="auto"/>
          </w:divBdr>
        </w:div>
        <w:div w:id="1300114357">
          <w:marLeft w:val="0"/>
          <w:marRight w:val="0"/>
          <w:marTop w:val="0"/>
          <w:marBottom w:val="0"/>
          <w:divBdr>
            <w:top w:val="none" w:sz="0" w:space="0" w:color="auto"/>
            <w:left w:val="none" w:sz="0" w:space="0" w:color="auto"/>
            <w:bottom w:val="none" w:sz="0" w:space="0" w:color="auto"/>
            <w:right w:val="none" w:sz="0" w:space="0" w:color="auto"/>
          </w:divBdr>
          <w:divsChild>
            <w:div w:id="912743032">
              <w:marLeft w:val="0"/>
              <w:marRight w:val="0"/>
              <w:marTop w:val="0"/>
              <w:marBottom w:val="0"/>
              <w:divBdr>
                <w:top w:val="none" w:sz="0" w:space="0" w:color="auto"/>
                <w:left w:val="none" w:sz="0" w:space="0" w:color="auto"/>
                <w:bottom w:val="none" w:sz="0" w:space="0" w:color="auto"/>
                <w:right w:val="none" w:sz="0" w:space="0" w:color="auto"/>
              </w:divBdr>
              <w:divsChild>
                <w:div w:id="82461992">
                  <w:marLeft w:val="0"/>
                  <w:marRight w:val="0"/>
                  <w:marTop w:val="0"/>
                  <w:marBottom w:val="0"/>
                  <w:divBdr>
                    <w:top w:val="none" w:sz="0" w:space="0" w:color="auto"/>
                    <w:left w:val="none" w:sz="0" w:space="0" w:color="auto"/>
                    <w:bottom w:val="none" w:sz="0" w:space="0" w:color="auto"/>
                    <w:right w:val="none" w:sz="0" w:space="0" w:color="auto"/>
                  </w:divBdr>
                  <w:divsChild>
                    <w:div w:id="1511481154">
                      <w:marLeft w:val="0"/>
                      <w:marRight w:val="0"/>
                      <w:marTop w:val="0"/>
                      <w:marBottom w:val="0"/>
                      <w:divBdr>
                        <w:top w:val="none" w:sz="0" w:space="0" w:color="auto"/>
                        <w:left w:val="none" w:sz="0" w:space="0" w:color="auto"/>
                        <w:bottom w:val="none" w:sz="0" w:space="0" w:color="auto"/>
                        <w:right w:val="none" w:sz="0" w:space="0" w:color="auto"/>
                      </w:divBdr>
                      <w:divsChild>
                        <w:div w:id="1236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43964">
      <w:bodyDiv w:val="1"/>
      <w:marLeft w:val="0"/>
      <w:marRight w:val="0"/>
      <w:marTop w:val="0"/>
      <w:marBottom w:val="0"/>
      <w:divBdr>
        <w:top w:val="none" w:sz="0" w:space="0" w:color="auto"/>
        <w:left w:val="none" w:sz="0" w:space="0" w:color="auto"/>
        <w:bottom w:val="none" w:sz="0" w:space="0" w:color="auto"/>
        <w:right w:val="none" w:sz="0" w:space="0" w:color="auto"/>
      </w:divBdr>
      <w:divsChild>
        <w:div w:id="1626735530">
          <w:marLeft w:val="0"/>
          <w:marRight w:val="0"/>
          <w:marTop w:val="0"/>
          <w:marBottom w:val="0"/>
          <w:divBdr>
            <w:top w:val="none" w:sz="0" w:space="0" w:color="auto"/>
            <w:left w:val="none" w:sz="0" w:space="0" w:color="auto"/>
            <w:bottom w:val="none" w:sz="0" w:space="0" w:color="auto"/>
            <w:right w:val="none" w:sz="0" w:space="0" w:color="auto"/>
          </w:divBdr>
          <w:divsChild>
            <w:div w:id="144785642">
              <w:marLeft w:val="0"/>
              <w:marRight w:val="0"/>
              <w:marTop w:val="0"/>
              <w:marBottom w:val="0"/>
              <w:divBdr>
                <w:top w:val="none" w:sz="0" w:space="0" w:color="auto"/>
                <w:left w:val="none" w:sz="0" w:space="0" w:color="auto"/>
                <w:bottom w:val="none" w:sz="0" w:space="0" w:color="auto"/>
                <w:right w:val="none" w:sz="0" w:space="0" w:color="auto"/>
              </w:divBdr>
              <w:divsChild>
                <w:div w:id="12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2458">
          <w:marLeft w:val="0"/>
          <w:marRight w:val="0"/>
          <w:marTop w:val="0"/>
          <w:marBottom w:val="0"/>
          <w:divBdr>
            <w:top w:val="none" w:sz="0" w:space="0" w:color="auto"/>
            <w:left w:val="none" w:sz="0" w:space="0" w:color="auto"/>
            <w:bottom w:val="none" w:sz="0" w:space="0" w:color="auto"/>
            <w:right w:val="none" w:sz="0" w:space="0" w:color="auto"/>
          </w:divBdr>
        </w:div>
        <w:div w:id="1917787490">
          <w:marLeft w:val="0"/>
          <w:marRight w:val="0"/>
          <w:marTop w:val="0"/>
          <w:marBottom w:val="0"/>
          <w:divBdr>
            <w:top w:val="none" w:sz="0" w:space="0" w:color="auto"/>
            <w:left w:val="none" w:sz="0" w:space="0" w:color="auto"/>
            <w:bottom w:val="none" w:sz="0" w:space="0" w:color="auto"/>
            <w:right w:val="none" w:sz="0" w:space="0" w:color="auto"/>
          </w:divBdr>
          <w:divsChild>
            <w:div w:id="1811822118">
              <w:marLeft w:val="0"/>
              <w:marRight w:val="0"/>
              <w:marTop w:val="0"/>
              <w:marBottom w:val="0"/>
              <w:divBdr>
                <w:top w:val="none" w:sz="0" w:space="0" w:color="auto"/>
                <w:left w:val="none" w:sz="0" w:space="0" w:color="auto"/>
                <w:bottom w:val="none" w:sz="0" w:space="0" w:color="auto"/>
                <w:right w:val="none" w:sz="0" w:space="0" w:color="auto"/>
              </w:divBdr>
              <w:divsChild>
                <w:div w:id="1800026909">
                  <w:marLeft w:val="0"/>
                  <w:marRight w:val="0"/>
                  <w:marTop w:val="0"/>
                  <w:marBottom w:val="0"/>
                  <w:divBdr>
                    <w:top w:val="none" w:sz="0" w:space="0" w:color="auto"/>
                    <w:left w:val="none" w:sz="0" w:space="0" w:color="auto"/>
                    <w:bottom w:val="none" w:sz="0" w:space="0" w:color="auto"/>
                    <w:right w:val="none" w:sz="0" w:space="0" w:color="auto"/>
                  </w:divBdr>
                  <w:divsChild>
                    <w:div w:id="1748650839">
                      <w:marLeft w:val="0"/>
                      <w:marRight w:val="0"/>
                      <w:marTop w:val="0"/>
                      <w:marBottom w:val="0"/>
                      <w:divBdr>
                        <w:top w:val="none" w:sz="0" w:space="0" w:color="auto"/>
                        <w:left w:val="none" w:sz="0" w:space="0" w:color="auto"/>
                        <w:bottom w:val="none" w:sz="0" w:space="0" w:color="auto"/>
                        <w:right w:val="none" w:sz="0" w:space="0" w:color="auto"/>
                      </w:divBdr>
                      <w:divsChild>
                        <w:div w:id="9863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064291">
      <w:bodyDiv w:val="1"/>
      <w:marLeft w:val="0"/>
      <w:marRight w:val="0"/>
      <w:marTop w:val="0"/>
      <w:marBottom w:val="0"/>
      <w:divBdr>
        <w:top w:val="none" w:sz="0" w:space="0" w:color="auto"/>
        <w:left w:val="none" w:sz="0" w:space="0" w:color="auto"/>
        <w:bottom w:val="none" w:sz="0" w:space="0" w:color="auto"/>
        <w:right w:val="none" w:sz="0" w:space="0" w:color="auto"/>
      </w:divBdr>
    </w:div>
    <w:div w:id="1739328134">
      <w:bodyDiv w:val="1"/>
      <w:marLeft w:val="0"/>
      <w:marRight w:val="0"/>
      <w:marTop w:val="0"/>
      <w:marBottom w:val="0"/>
      <w:divBdr>
        <w:top w:val="none" w:sz="0" w:space="0" w:color="auto"/>
        <w:left w:val="none" w:sz="0" w:space="0" w:color="auto"/>
        <w:bottom w:val="none" w:sz="0" w:space="0" w:color="auto"/>
        <w:right w:val="none" w:sz="0" w:space="0" w:color="auto"/>
      </w:divBdr>
      <w:divsChild>
        <w:div w:id="1507360081">
          <w:marLeft w:val="0"/>
          <w:marRight w:val="0"/>
          <w:marTop w:val="0"/>
          <w:marBottom w:val="0"/>
          <w:divBdr>
            <w:top w:val="none" w:sz="0" w:space="0" w:color="auto"/>
            <w:left w:val="none" w:sz="0" w:space="0" w:color="auto"/>
            <w:bottom w:val="none" w:sz="0" w:space="0" w:color="auto"/>
            <w:right w:val="none" w:sz="0" w:space="0" w:color="auto"/>
          </w:divBdr>
          <w:divsChild>
            <w:div w:id="2022118190">
              <w:marLeft w:val="0"/>
              <w:marRight w:val="0"/>
              <w:marTop w:val="0"/>
              <w:marBottom w:val="0"/>
              <w:divBdr>
                <w:top w:val="none" w:sz="0" w:space="0" w:color="auto"/>
                <w:left w:val="none" w:sz="0" w:space="0" w:color="auto"/>
                <w:bottom w:val="none" w:sz="0" w:space="0" w:color="auto"/>
                <w:right w:val="none" w:sz="0" w:space="0" w:color="auto"/>
              </w:divBdr>
              <w:divsChild>
                <w:div w:id="14865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530">
          <w:marLeft w:val="0"/>
          <w:marRight w:val="0"/>
          <w:marTop w:val="0"/>
          <w:marBottom w:val="0"/>
          <w:divBdr>
            <w:top w:val="none" w:sz="0" w:space="0" w:color="auto"/>
            <w:left w:val="none" w:sz="0" w:space="0" w:color="auto"/>
            <w:bottom w:val="none" w:sz="0" w:space="0" w:color="auto"/>
            <w:right w:val="none" w:sz="0" w:space="0" w:color="auto"/>
          </w:divBdr>
        </w:div>
        <w:div w:id="1854682739">
          <w:marLeft w:val="0"/>
          <w:marRight w:val="0"/>
          <w:marTop w:val="0"/>
          <w:marBottom w:val="0"/>
          <w:divBdr>
            <w:top w:val="none" w:sz="0" w:space="0" w:color="auto"/>
            <w:left w:val="none" w:sz="0" w:space="0" w:color="auto"/>
            <w:bottom w:val="none" w:sz="0" w:space="0" w:color="auto"/>
            <w:right w:val="none" w:sz="0" w:space="0" w:color="auto"/>
          </w:divBdr>
          <w:divsChild>
            <w:div w:id="130907488">
              <w:marLeft w:val="0"/>
              <w:marRight w:val="0"/>
              <w:marTop w:val="0"/>
              <w:marBottom w:val="0"/>
              <w:divBdr>
                <w:top w:val="none" w:sz="0" w:space="0" w:color="auto"/>
                <w:left w:val="none" w:sz="0" w:space="0" w:color="auto"/>
                <w:bottom w:val="none" w:sz="0" w:space="0" w:color="auto"/>
                <w:right w:val="none" w:sz="0" w:space="0" w:color="auto"/>
              </w:divBdr>
              <w:divsChild>
                <w:div w:id="1297301792">
                  <w:marLeft w:val="0"/>
                  <w:marRight w:val="0"/>
                  <w:marTop w:val="0"/>
                  <w:marBottom w:val="0"/>
                  <w:divBdr>
                    <w:top w:val="none" w:sz="0" w:space="0" w:color="auto"/>
                    <w:left w:val="none" w:sz="0" w:space="0" w:color="auto"/>
                    <w:bottom w:val="none" w:sz="0" w:space="0" w:color="auto"/>
                    <w:right w:val="none" w:sz="0" w:space="0" w:color="auto"/>
                  </w:divBdr>
                  <w:divsChild>
                    <w:div w:id="1509324523">
                      <w:marLeft w:val="0"/>
                      <w:marRight w:val="0"/>
                      <w:marTop w:val="0"/>
                      <w:marBottom w:val="0"/>
                      <w:divBdr>
                        <w:top w:val="none" w:sz="0" w:space="0" w:color="auto"/>
                        <w:left w:val="none" w:sz="0" w:space="0" w:color="auto"/>
                        <w:bottom w:val="none" w:sz="0" w:space="0" w:color="auto"/>
                        <w:right w:val="none" w:sz="0" w:space="0" w:color="auto"/>
                      </w:divBdr>
                      <w:divsChild>
                        <w:div w:id="1539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93950">
      <w:bodyDiv w:val="1"/>
      <w:marLeft w:val="0"/>
      <w:marRight w:val="0"/>
      <w:marTop w:val="0"/>
      <w:marBottom w:val="0"/>
      <w:divBdr>
        <w:top w:val="none" w:sz="0" w:space="0" w:color="auto"/>
        <w:left w:val="none" w:sz="0" w:space="0" w:color="auto"/>
        <w:bottom w:val="none" w:sz="0" w:space="0" w:color="auto"/>
        <w:right w:val="none" w:sz="0" w:space="0" w:color="auto"/>
      </w:divBdr>
      <w:divsChild>
        <w:div w:id="846210091">
          <w:marLeft w:val="0"/>
          <w:marRight w:val="0"/>
          <w:marTop w:val="0"/>
          <w:marBottom w:val="0"/>
          <w:divBdr>
            <w:top w:val="none" w:sz="0" w:space="0" w:color="auto"/>
            <w:left w:val="none" w:sz="0" w:space="0" w:color="auto"/>
            <w:bottom w:val="none" w:sz="0" w:space="0" w:color="auto"/>
            <w:right w:val="none" w:sz="0" w:space="0" w:color="auto"/>
          </w:divBdr>
          <w:divsChild>
            <w:div w:id="225843927">
              <w:marLeft w:val="0"/>
              <w:marRight w:val="0"/>
              <w:marTop w:val="0"/>
              <w:marBottom w:val="0"/>
              <w:divBdr>
                <w:top w:val="none" w:sz="0" w:space="0" w:color="auto"/>
                <w:left w:val="none" w:sz="0" w:space="0" w:color="auto"/>
                <w:bottom w:val="none" w:sz="0" w:space="0" w:color="auto"/>
                <w:right w:val="none" w:sz="0" w:space="0" w:color="auto"/>
              </w:divBdr>
            </w:div>
          </w:divsChild>
        </w:div>
        <w:div w:id="434374180">
          <w:marLeft w:val="0"/>
          <w:marRight w:val="0"/>
          <w:marTop w:val="0"/>
          <w:marBottom w:val="0"/>
          <w:divBdr>
            <w:top w:val="none" w:sz="0" w:space="0" w:color="auto"/>
            <w:left w:val="none" w:sz="0" w:space="0" w:color="auto"/>
            <w:bottom w:val="none" w:sz="0" w:space="0" w:color="auto"/>
            <w:right w:val="none" w:sz="0" w:space="0" w:color="auto"/>
          </w:divBdr>
        </w:div>
        <w:div w:id="95560392">
          <w:marLeft w:val="0"/>
          <w:marRight w:val="0"/>
          <w:marTop w:val="0"/>
          <w:marBottom w:val="0"/>
          <w:divBdr>
            <w:top w:val="none" w:sz="0" w:space="0" w:color="auto"/>
            <w:left w:val="none" w:sz="0" w:space="0" w:color="auto"/>
            <w:bottom w:val="none" w:sz="0" w:space="0" w:color="auto"/>
            <w:right w:val="none" w:sz="0" w:space="0" w:color="auto"/>
          </w:divBdr>
          <w:divsChild>
            <w:div w:id="670177876">
              <w:marLeft w:val="0"/>
              <w:marRight w:val="0"/>
              <w:marTop w:val="0"/>
              <w:marBottom w:val="0"/>
              <w:divBdr>
                <w:top w:val="none" w:sz="0" w:space="0" w:color="auto"/>
                <w:left w:val="none" w:sz="0" w:space="0" w:color="auto"/>
                <w:bottom w:val="none" w:sz="0" w:space="0" w:color="auto"/>
                <w:right w:val="none" w:sz="0" w:space="0" w:color="auto"/>
              </w:divBdr>
              <w:divsChild>
                <w:div w:id="1222712763">
                  <w:marLeft w:val="0"/>
                  <w:marRight w:val="0"/>
                  <w:marTop w:val="0"/>
                  <w:marBottom w:val="0"/>
                  <w:divBdr>
                    <w:top w:val="none" w:sz="0" w:space="0" w:color="auto"/>
                    <w:left w:val="none" w:sz="0" w:space="0" w:color="auto"/>
                    <w:bottom w:val="none" w:sz="0" w:space="0" w:color="auto"/>
                    <w:right w:val="none" w:sz="0" w:space="0" w:color="auto"/>
                  </w:divBdr>
                  <w:divsChild>
                    <w:div w:id="493226774">
                      <w:marLeft w:val="0"/>
                      <w:marRight w:val="0"/>
                      <w:marTop w:val="0"/>
                      <w:marBottom w:val="0"/>
                      <w:divBdr>
                        <w:top w:val="none" w:sz="0" w:space="0" w:color="auto"/>
                        <w:left w:val="none" w:sz="0" w:space="0" w:color="auto"/>
                        <w:bottom w:val="none" w:sz="0" w:space="0" w:color="auto"/>
                        <w:right w:val="none" w:sz="0" w:space="0" w:color="auto"/>
                      </w:divBdr>
                      <w:divsChild>
                        <w:div w:id="7702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24212">
      <w:bodyDiv w:val="1"/>
      <w:marLeft w:val="0"/>
      <w:marRight w:val="0"/>
      <w:marTop w:val="0"/>
      <w:marBottom w:val="0"/>
      <w:divBdr>
        <w:top w:val="none" w:sz="0" w:space="0" w:color="auto"/>
        <w:left w:val="none" w:sz="0" w:space="0" w:color="auto"/>
        <w:bottom w:val="none" w:sz="0" w:space="0" w:color="auto"/>
        <w:right w:val="none" w:sz="0" w:space="0" w:color="auto"/>
      </w:divBdr>
      <w:divsChild>
        <w:div w:id="1861233866">
          <w:marLeft w:val="0"/>
          <w:marRight w:val="0"/>
          <w:marTop w:val="0"/>
          <w:marBottom w:val="0"/>
          <w:divBdr>
            <w:top w:val="none" w:sz="0" w:space="0" w:color="auto"/>
            <w:left w:val="none" w:sz="0" w:space="0" w:color="auto"/>
            <w:bottom w:val="none" w:sz="0" w:space="0" w:color="auto"/>
            <w:right w:val="none" w:sz="0" w:space="0" w:color="auto"/>
          </w:divBdr>
          <w:divsChild>
            <w:div w:id="117184456">
              <w:marLeft w:val="0"/>
              <w:marRight w:val="0"/>
              <w:marTop w:val="0"/>
              <w:marBottom w:val="0"/>
              <w:divBdr>
                <w:top w:val="none" w:sz="0" w:space="0" w:color="auto"/>
                <w:left w:val="none" w:sz="0" w:space="0" w:color="auto"/>
                <w:bottom w:val="none" w:sz="0" w:space="0" w:color="auto"/>
                <w:right w:val="none" w:sz="0" w:space="0" w:color="auto"/>
              </w:divBdr>
              <w:divsChild>
                <w:div w:id="12224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309">
          <w:marLeft w:val="0"/>
          <w:marRight w:val="0"/>
          <w:marTop w:val="0"/>
          <w:marBottom w:val="0"/>
          <w:divBdr>
            <w:top w:val="none" w:sz="0" w:space="0" w:color="auto"/>
            <w:left w:val="none" w:sz="0" w:space="0" w:color="auto"/>
            <w:bottom w:val="none" w:sz="0" w:space="0" w:color="auto"/>
            <w:right w:val="none" w:sz="0" w:space="0" w:color="auto"/>
          </w:divBdr>
        </w:div>
        <w:div w:id="1730416057">
          <w:marLeft w:val="0"/>
          <w:marRight w:val="0"/>
          <w:marTop w:val="0"/>
          <w:marBottom w:val="0"/>
          <w:divBdr>
            <w:top w:val="none" w:sz="0" w:space="0" w:color="auto"/>
            <w:left w:val="none" w:sz="0" w:space="0" w:color="auto"/>
            <w:bottom w:val="none" w:sz="0" w:space="0" w:color="auto"/>
            <w:right w:val="none" w:sz="0" w:space="0" w:color="auto"/>
          </w:divBdr>
          <w:divsChild>
            <w:div w:id="1815757908">
              <w:marLeft w:val="0"/>
              <w:marRight w:val="0"/>
              <w:marTop w:val="0"/>
              <w:marBottom w:val="0"/>
              <w:divBdr>
                <w:top w:val="none" w:sz="0" w:space="0" w:color="auto"/>
                <w:left w:val="none" w:sz="0" w:space="0" w:color="auto"/>
                <w:bottom w:val="none" w:sz="0" w:space="0" w:color="auto"/>
                <w:right w:val="none" w:sz="0" w:space="0" w:color="auto"/>
              </w:divBdr>
              <w:divsChild>
                <w:div w:id="1946378863">
                  <w:marLeft w:val="0"/>
                  <w:marRight w:val="0"/>
                  <w:marTop w:val="0"/>
                  <w:marBottom w:val="0"/>
                  <w:divBdr>
                    <w:top w:val="none" w:sz="0" w:space="0" w:color="auto"/>
                    <w:left w:val="none" w:sz="0" w:space="0" w:color="auto"/>
                    <w:bottom w:val="none" w:sz="0" w:space="0" w:color="auto"/>
                    <w:right w:val="none" w:sz="0" w:space="0" w:color="auto"/>
                  </w:divBdr>
                  <w:divsChild>
                    <w:div w:id="1593976574">
                      <w:marLeft w:val="0"/>
                      <w:marRight w:val="0"/>
                      <w:marTop w:val="0"/>
                      <w:marBottom w:val="0"/>
                      <w:divBdr>
                        <w:top w:val="none" w:sz="0" w:space="0" w:color="auto"/>
                        <w:left w:val="none" w:sz="0" w:space="0" w:color="auto"/>
                        <w:bottom w:val="none" w:sz="0" w:space="0" w:color="auto"/>
                        <w:right w:val="none" w:sz="0" w:space="0" w:color="auto"/>
                      </w:divBdr>
                      <w:divsChild>
                        <w:div w:id="6604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1219">
      <w:bodyDiv w:val="1"/>
      <w:marLeft w:val="0"/>
      <w:marRight w:val="0"/>
      <w:marTop w:val="0"/>
      <w:marBottom w:val="0"/>
      <w:divBdr>
        <w:top w:val="none" w:sz="0" w:space="0" w:color="auto"/>
        <w:left w:val="none" w:sz="0" w:space="0" w:color="auto"/>
        <w:bottom w:val="none" w:sz="0" w:space="0" w:color="auto"/>
        <w:right w:val="none" w:sz="0" w:space="0" w:color="auto"/>
      </w:divBdr>
    </w:div>
    <w:div w:id="2101678378">
      <w:bodyDiv w:val="1"/>
      <w:marLeft w:val="0"/>
      <w:marRight w:val="0"/>
      <w:marTop w:val="0"/>
      <w:marBottom w:val="0"/>
      <w:divBdr>
        <w:top w:val="none" w:sz="0" w:space="0" w:color="auto"/>
        <w:left w:val="none" w:sz="0" w:space="0" w:color="auto"/>
        <w:bottom w:val="none" w:sz="0" w:space="0" w:color="auto"/>
        <w:right w:val="none" w:sz="0" w:space="0" w:color="auto"/>
      </w:divBdr>
    </w:div>
    <w:div w:id="21025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D:458578;1" TargetMode="External"/><Relationship Id="rId13" Type="http://schemas.openxmlformats.org/officeDocument/2006/relationships/hyperlink" Target="ID:1521699;1" TargetMode="External"/><Relationship Id="rId18" Type="http://schemas.openxmlformats.org/officeDocument/2006/relationships/hyperlink" Target="ID:445365;1" TargetMode="External"/><Relationship Id="rId26" Type="http://schemas.openxmlformats.org/officeDocument/2006/relationships/hyperlink" Target="mailto:avv.maurizio.villani@pec.studiotributariovillani.it" TargetMode="External"/><Relationship Id="rId3" Type="http://schemas.openxmlformats.org/officeDocument/2006/relationships/styles" Target="styles.xml"/><Relationship Id="rId21" Type="http://schemas.openxmlformats.org/officeDocument/2006/relationships/hyperlink" Target="ID:1521773;1,1521779;1" TargetMode="External"/><Relationship Id="rId7" Type="http://schemas.openxmlformats.org/officeDocument/2006/relationships/endnotes" Target="endnotes.xml"/><Relationship Id="rId12" Type="http://schemas.openxmlformats.org/officeDocument/2006/relationships/hyperlink" Target="ID:206858;1" TargetMode="External"/><Relationship Id="rId17" Type="http://schemas.openxmlformats.org/officeDocument/2006/relationships/hyperlink" Target="ID:1522267;1" TargetMode="External"/><Relationship Id="rId25" Type="http://schemas.openxmlformats.org/officeDocument/2006/relationships/hyperlink" Target="mailto:avvocato@studiotributariovillani.it" TargetMode="External"/><Relationship Id="rId2" Type="http://schemas.openxmlformats.org/officeDocument/2006/relationships/numbering" Target="numbering.xml"/><Relationship Id="rId16" Type="http://schemas.openxmlformats.org/officeDocument/2006/relationships/hyperlink" Target="ID:445365;1" TargetMode="External"/><Relationship Id="rId20" Type="http://schemas.openxmlformats.org/officeDocument/2006/relationships/hyperlink" Target="ID:4575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D:1522287;1,1522365;1,1522377;1" TargetMode="External"/><Relationship Id="rId24" Type="http://schemas.openxmlformats.org/officeDocument/2006/relationships/hyperlink" Target="ID:21710;1" TargetMode="External"/><Relationship Id="rId5" Type="http://schemas.openxmlformats.org/officeDocument/2006/relationships/webSettings" Target="webSettings.xml"/><Relationship Id="rId15" Type="http://schemas.openxmlformats.org/officeDocument/2006/relationships/hyperlink" Target="ID:445365;1" TargetMode="External"/><Relationship Id="rId23" Type="http://schemas.openxmlformats.org/officeDocument/2006/relationships/hyperlink" Target="IDP:3008657;3" TargetMode="External"/><Relationship Id="rId28" Type="http://schemas.openxmlformats.org/officeDocument/2006/relationships/fontTable" Target="fontTable.xml"/><Relationship Id="rId10" Type="http://schemas.openxmlformats.org/officeDocument/2006/relationships/hyperlink" Target="ID:1522265;1" TargetMode="External"/><Relationship Id="rId19" Type="http://schemas.openxmlformats.org/officeDocument/2006/relationships/hyperlink" Target="IDP:4077;1" TargetMode="External"/><Relationship Id="rId4" Type="http://schemas.openxmlformats.org/officeDocument/2006/relationships/settings" Target="settings.xml"/><Relationship Id="rId9" Type="http://schemas.openxmlformats.org/officeDocument/2006/relationships/hyperlink" Target="ID:1522137;1" TargetMode="External"/><Relationship Id="rId14" Type="http://schemas.openxmlformats.org/officeDocument/2006/relationships/hyperlink" Target="ID:1522267;1" TargetMode="External"/><Relationship Id="rId22" Type="http://schemas.openxmlformats.org/officeDocument/2006/relationships/hyperlink" Target="IDP:3666155;3"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1D0A-9237-4ED5-909C-3BD4E167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10365</Words>
  <Characters>59085</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Villani</dc:creator>
  <cp:keywords/>
  <dc:description/>
  <cp:lastModifiedBy>Alessandro</cp:lastModifiedBy>
  <cp:revision>138</cp:revision>
  <cp:lastPrinted>2025-01-06T12:34:00Z</cp:lastPrinted>
  <dcterms:created xsi:type="dcterms:W3CDTF">2024-12-31T11:13:00Z</dcterms:created>
  <dcterms:modified xsi:type="dcterms:W3CDTF">2025-01-06T18:48:00Z</dcterms:modified>
</cp:coreProperties>
</file>